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41" w:rsidRPr="004E19C0" w:rsidRDefault="003F6D41" w:rsidP="003F6D41">
      <w:pPr>
        <w:pStyle w:val="Rubrik1"/>
        <w:rPr>
          <w:lang w:val="en-US"/>
        </w:rPr>
      </w:pPr>
      <w:bookmarkStart w:id="0" w:name="_Toc524965939"/>
      <w:bookmarkStart w:id="1" w:name="_GoBack"/>
      <w:bookmarkEnd w:id="1"/>
      <w:r w:rsidRPr="00A64A97">
        <w:rPr>
          <w:lang w:val="en-GB"/>
        </w:rPr>
        <w:t>SEEA CF and tourism accounts – the Italian experience</w:t>
      </w:r>
      <w:bookmarkEnd w:id="0"/>
    </w:p>
    <w:p w:rsidR="003F6D41" w:rsidRPr="004E19C0" w:rsidRDefault="003F6D41" w:rsidP="003F6D41">
      <w:pPr>
        <w:rPr>
          <w:lang w:val="en-US"/>
        </w:rPr>
      </w:pPr>
    </w:p>
    <w:p w:rsidR="003F6D41" w:rsidRPr="00CD65C0" w:rsidRDefault="003F6D41" w:rsidP="003F6D41">
      <w:pPr>
        <w:rPr>
          <w:lang w:val="it-IT"/>
        </w:rPr>
      </w:pPr>
      <w:r w:rsidRPr="002528F0">
        <w:rPr>
          <w:lang w:val="it-IT"/>
        </w:rPr>
        <w:t>Authors: Carolina Ardi, Emanuela Recchini, Angelica Tudini – Istat</w:t>
      </w:r>
    </w:p>
    <w:p w:rsidR="00310079" w:rsidRPr="003F6D41" w:rsidRDefault="00310079" w:rsidP="00310079">
      <w:pPr>
        <w:rPr>
          <w:lang w:val="it-IT"/>
        </w:rPr>
      </w:pPr>
    </w:p>
    <w:p w:rsidR="0059229E" w:rsidRDefault="00AE4D0A" w:rsidP="007E3E11">
      <w:pPr>
        <w:pStyle w:val="Innehllsfrteckningsrubrik"/>
        <w:rPr>
          <w:noProof/>
        </w:rPr>
      </w:pPr>
      <w:r>
        <w:t>Contents</w:t>
      </w:r>
      <w:r w:rsidR="007A18DF">
        <w:fldChar w:fldCharType="begin"/>
      </w:r>
      <w:r w:rsidR="007A18DF">
        <w:instrText xml:space="preserve"> TOC \o "1-4" \h \z \u </w:instrText>
      </w:r>
      <w:r w:rsidR="007A18DF">
        <w:fldChar w:fldCharType="separate"/>
      </w:r>
    </w:p>
    <w:p w:rsidR="0059229E" w:rsidRDefault="002C107F">
      <w:pPr>
        <w:pStyle w:val="Innehll1"/>
        <w:rPr>
          <w:rFonts w:eastAsiaTheme="minorEastAsia"/>
          <w:b w:val="0"/>
          <w:bCs w:val="0"/>
          <w:sz w:val="22"/>
          <w:szCs w:val="22"/>
          <w:lang w:val="it-IT" w:eastAsia="it-IT"/>
        </w:rPr>
      </w:pPr>
      <w:hyperlink w:anchor="_Toc524965939" w:history="1">
        <w:r w:rsidR="0059229E" w:rsidRPr="0069795C">
          <w:rPr>
            <w:rStyle w:val="Hyperlnk"/>
          </w:rPr>
          <w:t>SEEA CF and tourism accounts – the Italian experience</w:t>
        </w:r>
        <w:r w:rsidR="0059229E">
          <w:rPr>
            <w:webHidden/>
          </w:rPr>
          <w:tab/>
        </w:r>
        <w:r w:rsidR="0059229E">
          <w:rPr>
            <w:webHidden/>
          </w:rPr>
          <w:fldChar w:fldCharType="begin"/>
        </w:r>
        <w:r w:rsidR="0059229E">
          <w:rPr>
            <w:webHidden/>
          </w:rPr>
          <w:instrText xml:space="preserve"> PAGEREF _Toc524965939 \h </w:instrText>
        </w:r>
        <w:r w:rsidR="0059229E">
          <w:rPr>
            <w:webHidden/>
          </w:rPr>
        </w:r>
        <w:r w:rsidR="0059229E">
          <w:rPr>
            <w:webHidden/>
          </w:rPr>
          <w:fldChar w:fldCharType="separate"/>
        </w:r>
        <w:r w:rsidR="0059229E">
          <w:rPr>
            <w:webHidden/>
          </w:rPr>
          <w:t>1</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0" w:history="1">
        <w:r w:rsidR="0059229E" w:rsidRPr="0069795C">
          <w:rPr>
            <w:rStyle w:val="Hyperlnk"/>
          </w:rPr>
          <w:t>Abstract</w:t>
        </w:r>
        <w:r w:rsidR="0059229E">
          <w:rPr>
            <w:webHidden/>
          </w:rPr>
          <w:tab/>
        </w:r>
        <w:r w:rsidR="0059229E">
          <w:rPr>
            <w:webHidden/>
          </w:rPr>
          <w:fldChar w:fldCharType="begin"/>
        </w:r>
        <w:r w:rsidR="0059229E">
          <w:rPr>
            <w:webHidden/>
          </w:rPr>
          <w:instrText xml:space="preserve"> PAGEREF _Toc524965940 \h </w:instrText>
        </w:r>
        <w:r w:rsidR="0059229E">
          <w:rPr>
            <w:webHidden/>
          </w:rPr>
        </w:r>
        <w:r w:rsidR="0059229E">
          <w:rPr>
            <w:webHidden/>
          </w:rPr>
          <w:fldChar w:fldCharType="separate"/>
        </w:r>
        <w:r w:rsidR="0059229E">
          <w:rPr>
            <w:webHidden/>
          </w:rPr>
          <w:t>2</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1" w:history="1">
        <w:r w:rsidR="0059229E" w:rsidRPr="0069795C">
          <w:rPr>
            <w:rStyle w:val="Hyperlnk"/>
          </w:rPr>
          <w:t>Background and outline of the paper</w:t>
        </w:r>
        <w:r w:rsidR="0059229E">
          <w:rPr>
            <w:webHidden/>
          </w:rPr>
          <w:tab/>
        </w:r>
        <w:r w:rsidR="0059229E">
          <w:rPr>
            <w:webHidden/>
          </w:rPr>
          <w:fldChar w:fldCharType="begin"/>
        </w:r>
        <w:r w:rsidR="0059229E">
          <w:rPr>
            <w:webHidden/>
          </w:rPr>
          <w:instrText xml:space="preserve"> PAGEREF _Toc524965941 \h </w:instrText>
        </w:r>
        <w:r w:rsidR="0059229E">
          <w:rPr>
            <w:webHidden/>
          </w:rPr>
        </w:r>
        <w:r w:rsidR="0059229E">
          <w:rPr>
            <w:webHidden/>
          </w:rPr>
          <w:fldChar w:fldCharType="separate"/>
        </w:r>
        <w:r w:rsidR="0059229E">
          <w:rPr>
            <w:webHidden/>
          </w:rPr>
          <w:t>3</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2" w:history="1">
        <w:r w:rsidR="0059229E" w:rsidRPr="0069795C">
          <w:rPr>
            <w:rStyle w:val="Hyperlnk"/>
          </w:rPr>
          <w:t>1.</w:t>
        </w:r>
        <w:r w:rsidR="0059229E">
          <w:rPr>
            <w:rFonts w:eastAsiaTheme="minorEastAsia" w:cstheme="minorBidi"/>
            <w:iCs w:val="0"/>
            <w:sz w:val="22"/>
            <w:szCs w:val="22"/>
            <w:lang w:val="it-IT" w:eastAsia="it-IT"/>
          </w:rPr>
          <w:tab/>
        </w:r>
        <w:r w:rsidR="0059229E" w:rsidRPr="0069795C">
          <w:rPr>
            <w:rStyle w:val="Hyperlnk"/>
          </w:rPr>
          <w:t>The UNWTO international reference framework for measuring sustainable tourism: linking TSA and SEEA</w:t>
        </w:r>
        <w:r w:rsidR="0059229E">
          <w:rPr>
            <w:webHidden/>
          </w:rPr>
          <w:tab/>
        </w:r>
        <w:r w:rsidR="0059229E">
          <w:rPr>
            <w:webHidden/>
          </w:rPr>
          <w:fldChar w:fldCharType="begin"/>
        </w:r>
        <w:r w:rsidR="0059229E">
          <w:rPr>
            <w:webHidden/>
          </w:rPr>
          <w:instrText xml:space="preserve"> PAGEREF _Toc524965942 \h </w:instrText>
        </w:r>
        <w:r w:rsidR="0059229E">
          <w:rPr>
            <w:webHidden/>
          </w:rPr>
        </w:r>
        <w:r w:rsidR="0059229E">
          <w:rPr>
            <w:webHidden/>
          </w:rPr>
          <w:fldChar w:fldCharType="separate"/>
        </w:r>
        <w:r w:rsidR="0059229E">
          <w:rPr>
            <w:webHidden/>
          </w:rPr>
          <w:t>4</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3" w:history="1">
        <w:r w:rsidR="0059229E" w:rsidRPr="0069795C">
          <w:rPr>
            <w:rStyle w:val="Hyperlnk"/>
          </w:rPr>
          <w:t>2.</w:t>
        </w:r>
        <w:r w:rsidR="0059229E">
          <w:rPr>
            <w:rFonts w:eastAsiaTheme="minorEastAsia" w:cstheme="minorBidi"/>
            <w:iCs w:val="0"/>
            <w:sz w:val="22"/>
            <w:szCs w:val="22"/>
            <w:lang w:val="it-IT" w:eastAsia="it-IT"/>
          </w:rPr>
          <w:tab/>
        </w:r>
        <w:r w:rsidR="0059229E" w:rsidRPr="0069795C">
          <w:rPr>
            <w:rStyle w:val="Hyperlnk"/>
          </w:rPr>
          <w:t>Tourism related environmental flows from a production perspective: the Italian TSA-SEEA case study</w:t>
        </w:r>
        <w:r w:rsidR="0059229E">
          <w:rPr>
            <w:webHidden/>
          </w:rPr>
          <w:tab/>
        </w:r>
        <w:r w:rsidR="0059229E">
          <w:rPr>
            <w:webHidden/>
          </w:rPr>
          <w:fldChar w:fldCharType="begin"/>
        </w:r>
        <w:r w:rsidR="0059229E">
          <w:rPr>
            <w:webHidden/>
          </w:rPr>
          <w:instrText xml:space="preserve"> PAGEREF _Toc524965943 \h </w:instrText>
        </w:r>
        <w:r w:rsidR="0059229E">
          <w:rPr>
            <w:webHidden/>
          </w:rPr>
        </w:r>
        <w:r w:rsidR="0059229E">
          <w:rPr>
            <w:webHidden/>
          </w:rPr>
          <w:fldChar w:fldCharType="separate"/>
        </w:r>
        <w:r w:rsidR="0059229E">
          <w:rPr>
            <w:webHidden/>
          </w:rPr>
          <w:t>9</w:t>
        </w:r>
        <w:r w:rsidR="0059229E">
          <w:rPr>
            <w:webHidden/>
          </w:rPr>
          <w:fldChar w:fldCharType="end"/>
        </w:r>
      </w:hyperlink>
    </w:p>
    <w:p w:rsidR="0059229E" w:rsidRDefault="002C107F">
      <w:pPr>
        <w:pStyle w:val="Innehll3"/>
        <w:tabs>
          <w:tab w:val="right" w:leader="dot" w:pos="9628"/>
        </w:tabs>
        <w:rPr>
          <w:rFonts w:eastAsiaTheme="minorEastAsia"/>
          <w:noProof/>
          <w:sz w:val="22"/>
          <w:szCs w:val="22"/>
          <w:lang w:val="it-IT" w:eastAsia="it-IT"/>
        </w:rPr>
      </w:pPr>
      <w:hyperlink w:anchor="_Toc524965944" w:history="1">
        <w:r w:rsidR="0059229E" w:rsidRPr="0069795C">
          <w:rPr>
            <w:rStyle w:val="Hyperlnk"/>
            <w:noProof/>
            <w:lang w:val="en-US"/>
          </w:rPr>
          <w:t>2.1 Purpose of the case study and main output</w:t>
        </w:r>
        <w:r w:rsidR="0059229E">
          <w:rPr>
            <w:noProof/>
            <w:webHidden/>
          </w:rPr>
          <w:tab/>
        </w:r>
        <w:r w:rsidR="0059229E">
          <w:rPr>
            <w:noProof/>
            <w:webHidden/>
          </w:rPr>
          <w:fldChar w:fldCharType="begin"/>
        </w:r>
        <w:r w:rsidR="0059229E">
          <w:rPr>
            <w:noProof/>
            <w:webHidden/>
          </w:rPr>
          <w:instrText xml:space="preserve"> PAGEREF _Toc524965944 \h </w:instrText>
        </w:r>
        <w:r w:rsidR="0059229E">
          <w:rPr>
            <w:noProof/>
            <w:webHidden/>
          </w:rPr>
        </w:r>
        <w:r w:rsidR="0059229E">
          <w:rPr>
            <w:noProof/>
            <w:webHidden/>
          </w:rPr>
          <w:fldChar w:fldCharType="separate"/>
        </w:r>
        <w:r w:rsidR="0059229E">
          <w:rPr>
            <w:noProof/>
            <w:webHidden/>
          </w:rPr>
          <w:t>9</w:t>
        </w:r>
        <w:r w:rsidR="0059229E">
          <w:rPr>
            <w:noProof/>
            <w:webHidden/>
          </w:rPr>
          <w:fldChar w:fldCharType="end"/>
        </w:r>
      </w:hyperlink>
    </w:p>
    <w:p w:rsidR="0059229E" w:rsidRDefault="002C107F">
      <w:pPr>
        <w:pStyle w:val="Innehll3"/>
        <w:tabs>
          <w:tab w:val="right" w:leader="dot" w:pos="9628"/>
        </w:tabs>
        <w:rPr>
          <w:rFonts w:eastAsiaTheme="minorEastAsia"/>
          <w:noProof/>
          <w:sz w:val="22"/>
          <w:szCs w:val="22"/>
          <w:lang w:val="it-IT" w:eastAsia="it-IT"/>
        </w:rPr>
      </w:pPr>
      <w:hyperlink w:anchor="_Toc524965945" w:history="1">
        <w:r w:rsidR="0059229E" w:rsidRPr="0069795C">
          <w:rPr>
            <w:rStyle w:val="Hyperlnk"/>
            <w:noProof/>
            <w:lang w:val="en-US"/>
          </w:rPr>
          <w:t>2.2 Methodology</w:t>
        </w:r>
        <w:r w:rsidR="0059229E">
          <w:rPr>
            <w:noProof/>
            <w:webHidden/>
          </w:rPr>
          <w:tab/>
        </w:r>
        <w:r w:rsidR="0059229E">
          <w:rPr>
            <w:noProof/>
            <w:webHidden/>
          </w:rPr>
          <w:fldChar w:fldCharType="begin"/>
        </w:r>
        <w:r w:rsidR="0059229E">
          <w:rPr>
            <w:noProof/>
            <w:webHidden/>
          </w:rPr>
          <w:instrText xml:space="preserve"> PAGEREF _Toc524965945 \h </w:instrText>
        </w:r>
        <w:r w:rsidR="0059229E">
          <w:rPr>
            <w:noProof/>
            <w:webHidden/>
          </w:rPr>
        </w:r>
        <w:r w:rsidR="0059229E">
          <w:rPr>
            <w:noProof/>
            <w:webHidden/>
          </w:rPr>
          <w:fldChar w:fldCharType="separate"/>
        </w:r>
        <w:r w:rsidR="0059229E">
          <w:rPr>
            <w:noProof/>
            <w:webHidden/>
          </w:rPr>
          <w:t>12</w:t>
        </w:r>
        <w:r w:rsidR="0059229E">
          <w:rPr>
            <w:noProof/>
            <w:webHidden/>
          </w:rPr>
          <w:fldChar w:fldCharType="end"/>
        </w:r>
      </w:hyperlink>
    </w:p>
    <w:p w:rsidR="0059229E" w:rsidRDefault="002C107F">
      <w:pPr>
        <w:pStyle w:val="Innehll4"/>
        <w:tabs>
          <w:tab w:val="right" w:leader="dot" w:pos="9628"/>
        </w:tabs>
        <w:rPr>
          <w:rFonts w:eastAsiaTheme="minorEastAsia"/>
          <w:noProof/>
          <w:sz w:val="22"/>
          <w:szCs w:val="22"/>
          <w:lang w:val="it-IT" w:eastAsia="it-IT"/>
        </w:rPr>
      </w:pPr>
      <w:hyperlink w:anchor="_Toc524965946" w:history="1">
        <w:r w:rsidR="0059229E" w:rsidRPr="0069795C">
          <w:rPr>
            <w:rStyle w:val="Hyperlnk"/>
            <w:rFonts w:eastAsia="Calibri"/>
            <w:noProof/>
            <w:lang w:val="en-US"/>
          </w:rPr>
          <w:t>2.2.1 Estimating environmental flows by tourism industry</w:t>
        </w:r>
        <w:r w:rsidR="0059229E">
          <w:rPr>
            <w:noProof/>
            <w:webHidden/>
          </w:rPr>
          <w:tab/>
        </w:r>
        <w:r w:rsidR="0059229E">
          <w:rPr>
            <w:noProof/>
            <w:webHidden/>
          </w:rPr>
          <w:fldChar w:fldCharType="begin"/>
        </w:r>
        <w:r w:rsidR="0059229E">
          <w:rPr>
            <w:noProof/>
            <w:webHidden/>
          </w:rPr>
          <w:instrText xml:space="preserve"> PAGEREF _Toc524965946 \h </w:instrText>
        </w:r>
        <w:r w:rsidR="0059229E">
          <w:rPr>
            <w:noProof/>
            <w:webHidden/>
          </w:rPr>
        </w:r>
        <w:r w:rsidR="0059229E">
          <w:rPr>
            <w:noProof/>
            <w:webHidden/>
          </w:rPr>
          <w:fldChar w:fldCharType="separate"/>
        </w:r>
        <w:r w:rsidR="0059229E">
          <w:rPr>
            <w:noProof/>
            <w:webHidden/>
          </w:rPr>
          <w:t>12</w:t>
        </w:r>
        <w:r w:rsidR="0059229E">
          <w:rPr>
            <w:noProof/>
            <w:webHidden/>
          </w:rPr>
          <w:fldChar w:fldCharType="end"/>
        </w:r>
      </w:hyperlink>
    </w:p>
    <w:p w:rsidR="0059229E" w:rsidRDefault="002C107F">
      <w:pPr>
        <w:pStyle w:val="Innehll4"/>
        <w:tabs>
          <w:tab w:val="right" w:leader="dot" w:pos="9628"/>
        </w:tabs>
        <w:rPr>
          <w:rFonts w:eastAsiaTheme="minorEastAsia"/>
          <w:noProof/>
          <w:sz w:val="22"/>
          <w:szCs w:val="22"/>
          <w:lang w:val="it-IT" w:eastAsia="it-IT"/>
        </w:rPr>
      </w:pPr>
      <w:hyperlink w:anchor="_Toc524965947" w:history="1">
        <w:r w:rsidR="0059229E" w:rsidRPr="0069795C">
          <w:rPr>
            <w:rStyle w:val="Hyperlnk"/>
            <w:rFonts w:eastAsia="Calibri"/>
            <w:noProof/>
            <w:lang w:val="en-US"/>
          </w:rPr>
          <w:t>2.2.2 Estimating the tourism share of environmental flows by tourism industry</w:t>
        </w:r>
        <w:r w:rsidR="0059229E">
          <w:rPr>
            <w:noProof/>
            <w:webHidden/>
          </w:rPr>
          <w:tab/>
        </w:r>
        <w:r w:rsidR="0059229E">
          <w:rPr>
            <w:noProof/>
            <w:webHidden/>
          </w:rPr>
          <w:fldChar w:fldCharType="begin"/>
        </w:r>
        <w:r w:rsidR="0059229E">
          <w:rPr>
            <w:noProof/>
            <w:webHidden/>
          </w:rPr>
          <w:instrText xml:space="preserve"> PAGEREF _Toc524965947 \h </w:instrText>
        </w:r>
        <w:r w:rsidR="0059229E">
          <w:rPr>
            <w:noProof/>
            <w:webHidden/>
          </w:rPr>
        </w:r>
        <w:r w:rsidR="0059229E">
          <w:rPr>
            <w:noProof/>
            <w:webHidden/>
          </w:rPr>
          <w:fldChar w:fldCharType="separate"/>
        </w:r>
        <w:r w:rsidR="0059229E">
          <w:rPr>
            <w:noProof/>
            <w:webHidden/>
          </w:rPr>
          <w:t>14</w:t>
        </w:r>
        <w:r w:rsidR="0059229E">
          <w:rPr>
            <w:noProof/>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8" w:history="1">
        <w:r w:rsidR="0059229E" w:rsidRPr="0069795C">
          <w:rPr>
            <w:rStyle w:val="Hyperlnk"/>
          </w:rPr>
          <w:t>3.</w:t>
        </w:r>
        <w:r w:rsidR="0059229E">
          <w:rPr>
            <w:rFonts w:eastAsiaTheme="minorEastAsia" w:cstheme="minorBidi"/>
            <w:iCs w:val="0"/>
            <w:sz w:val="22"/>
            <w:szCs w:val="22"/>
            <w:lang w:val="it-IT" w:eastAsia="it-IT"/>
          </w:rPr>
          <w:tab/>
        </w:r>
        <w:r w:rsidR="0059229E" w:rsidRPr="0069795C">
          <w:rPr>
            <w:rStyle w:val="Hyperlnk"/>
          </w:rPr>
          <w:t>Tourism related environmental flows from a consumption perspective, an open question</w:t>
        </w:r>
        <w:r w:rsidR="0059229E">
          <w:rPr>
            <w:webHidden/>
          </w:rPr>
          <w:tab/>
        </w:r>
        <w:r w:rsidR="0059229E">
          <w:rPr>
            <w:webHidden/>
          </w:rPr>
          <w:fldChar w:fldCharType="begin"/>
        </w:r>
        <w:r w:rsidR="0059229E">
          <w:rPr>
            <w:webHidden/>
          </w:rPr>
          <w:instrText xml:space="preserve"> PAGEREF _Toc524965948 \h </w:instrText>
        </w:r>
        <w:r w:rsidR="0059229E">
          <w:rPr>
            <w:webHidden/>
          </w:rPr>
        </w:r>
        <w:r w:rsidR="0059229E">
          <w:rPr>
            <w:webHidden/>
          </w:rPr>
          <w:fldChar w:fldCharType="separate"/>
        </w:r>
        <w:r w:rsidR="0059229E">
          <w:rPr>
            <w:webHidden/>
          </w:rPr>
          <w:t>15</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49" w:history="1">
        <w:r w:rsidR="0059229E" w:rsidRPr="0069795C">
          <w:rPr>
            <w:rStyle w:val="Hyperlnk"/>
            <w:lang w:val="en-GB"/>
          </w:rPr>
          <w:t>4.</w:t>
        </w:r>
        <w:r w:rsidR="0059229E">
          <w:rPr>
            <w:rFonts w:eastAsiaTheme="minorEastAsia" w:cstheme="minorBidi"/>
            <w:iCs w:val="0"/>
            <w:sz w:val="22"/>
            <w:szCs w:val="22"/>
            <w:lang w:val="it-IT" w:eastAsia="it-IT"/>
          </w:rPr>
          <w:tab/>
        </w:r>
        <w:r w:rsidR="0059229E" w:rsidRPr="0069795C">
          <w:rPr>
            <w:rStyle w:val="Hyperlnk"/>
            <w:lang w:val="en-GB"/>
          </w:rPr>
          <w:t>Conclusions and inputs for discussion</w:t>
        </w:r>
        <w:r w:rsidR="0059229E">
          <w:rPr>
            <w:webHidden/>
          </w:rPr>
          <w:tab/>
        </w:r>
        <w:r w:rsidR="0059229E">
          <w:rPr>
            <w:webHidden/>
          </w:rPr>
          <w:fldChar w:fldCharType="begin"/>
        </w:r>
        <w:r w:rsidR="0059229E">
          <w:rPr>
            <w:webHidden/>
          </w:rPr>
          <w:instrText xml:space="preserve"> PAGEREF _Toc524965949 \h </w:instrText>
        </w:r>
        <w:r w:rsidR="0059229E">
          <w:rPr>
            <w:webHidden/>
          </w:rPr>
        </w:r>
        <w:r w:rsidR="0059229E">
          <w:rPr>
            <w:webHidden/>
          </w:rPr>
          <w:fldChar w:fldCharType="separate"/>
        </w:r>
        <w:r w:rsidR="0059229E">
          <w:rPr>
            <w:webHidden/>
          </w:rPr>
          <w:t>16</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50" w:history="1">
        <w:r w:rsidR="0059229E" w:rsidRPr="0069795C">
          <w:rPr>
            <w:rStyle w:val="Hyperlnk"/>
            <w:lang w:val="en-GB"/>
          </w:rPr>
          <w:t>Main references</w:t>
        </w:r>
        <w:r w:rsidR="0059229E">
          <w:rPr>
            <w:webHidden/>
          </w:rPr>
          <w:tab/>
        </w:r>
        <w:r w:rsidR="0059229E">
          <w:rPr>
            <w:webHidden/>
          </w:rPr>
          <w:fldChar w:fldCharType="begin"/>
        </w:r>
        <w:r w:rsidR="0059229E">
          <w:rPr>
            <w:webHidden/>
          </w:rPr>
          <w:instrText xml:space="preserve"> PAGEREF _Toc524965950 \h </w:instrText>
        </w:r>
        <w:r w:rsidR="0059229E">
          <w:rPr>
            <w:webHidden/>
          </w:rPr>
        </w:r>
        <w:r w:rsidR="0059229E">
          <w:rPr>
            <w:webHidden/>
          </w:rPr>
          <w:fldChar w:fldCharType="separate"/>
        </w:r>
        <w:r w:rsidR="0059229E">
          <w:rPr>
            <w:webHidden/>
          </w:rPr>
          <w:t>18</w:t>
        </w:r>
        <w:r w:rsidR="0059229E">
          <w:rPr>
            <w:webHidden/>
          </w:rPr>
          <w:fldChar w:fldCharType="end"/>
        </w:r>
      </w:hyperlink>
    </w:p>
    <w:p w:rsidR="0059229E" w:rsidRDefault="002C107F">
      <w:pPr>
        <w:pStyle w:val="Innehll2"/>
        <w:rPr>
          <w:rFonts w:eastAsiaTheme="minorEastAsia" w:cstheme="minorBidi"/>
          <w:iCs w:val="0"/>
          <w:sz w:val="22"/>
          <w:szCs w:val="22"/>
          <w:lang w:val="it-IT" w:eastAsia="it-IT"/>
        </w:rPr>
      </w:pPr>
      <w:hyperlink w:anchor="_Toc524965951" w:history="1">
        <w:r w:rsidR="0059229E" w:rsidRPr="0069795C">
          <w:rPr>
            <w:rStyle w:val="Hyperlnk"/>
            <w:lang w:val="en-GB"/>
          </w:rPr>
          <w:t xml:space="preserve">ANNEX - </w:t>
        </w:r>
        <w:r w:rsidR="0059229E" w:rsidRPr="0069795C">
          <w:rPr>
            <w:rStyle w:val="Hyperlnk"/>
          </w:rPr>
          <w:t>TSA-SEEA integrated framework - Italy (2015)</w:t>
        </w:r>
        <w:r w:rsidR="0059229E">
          <w:rPr>
            <w:webHidden/>
          </w:rPr>
          <w:tab/>
        </w:r>
        <w:r w:rsidR="0059229E">
          <w:rPr>
            <w:webHidden/>
          </w:rPr>
          <w:fldChar w:fldCharType="begin"/>
        </w:r>
        <w:r w:rsidR="0059229E">
          <w:rPr>
            <w:webHidden/>
          </w:rPr>
          <w:instrText xml:space="preserve"> PAGEREF _Toc524965951 \h </w:instrText>
        </w:r>
        <w:r w:rsidR="0059229E">
          <w:rPr>
            <w:webHidden/>
          </w:rPr>
        </w:r>
        <w:r w:rsidR="0059229E">
          <w:rPr>
            <w:webHidden/>
          </w:rPr>
          <w:fldChar w:fldCharType="separate"/>
        </w:r>
        <w:r w:rsidR="0059229E">
          <w:rPr>
            <w:webHidden/>
          </w:rPr>
          <w:t>19</w:t>
        </w:r>
        <w:r w:rsidR="0059229E">
          <w:rPr>
            <w:webHidden/>
          </w:rPr>
          <w:fldChar w:fldCharType="end"/>
        </w:r>
      </w:hyperlink>
    </w:p>
    <w:p w:rsidR="007E3E11" w:rsidRDefault="007A18DF" w:rsidP="007E3E11">
      <w:pPr>
        <w:pStyle w:val="Innehllsfrteckningsrubrik"/>
      </w:pPr>
      <w:r>
        <w:fldChar w:fldCharType="end"/>
      </w:r>
    </w:p>
    <w:p w:rsidR="00317DBB" w:rsidRDefault="00317DBB">
      <w:pPr>
        <w:spacing w:after="200" w:line="276" w:lineRule="auto"/>
        <w:rPr>
          <w:b/>
          <w:sz w:val="24"/>
          <w:szCs w:val="24"/>
          <w:lang w:val="en-GB"/>
        </w:rPr>
      </w:pPr>
    </w:p>
    <w:p w:rsidR="00317DBB" w:rsidRDefault="00317DBB">
      <w:pPr>
        <w:spacing w:after="200" w:line="276" w:lineRule="auto"/>
        <w:rPr>
          <w:b/>
          <w:sz w:val="24"/>
          <w:szCs w:val="24"/>
          <w:lang w:val="en-GB"/>
        </w:rPr>
      </w:pPr>
    </w:p>
    <w:p w:rsidR="00EB2C62" w:rsidRPr="00A62A29" w:rsidRDefault="00C07FDE">
      <w:pPr>
        <w:spacing w:after="200" w:line="276" w:lineRule="auto"/>
        <w:rPr>
          <w:b/>
          <w:sz w:val="24"/>
          <w:szCs w:val="24"/>
          <w:lang w:val="en-GB"/>
        </w:rPr>
      </w:pPr>
      <w:r>
        <w:rPr>
          <w:b/>
          <w:sz w:val="24"/>
          <w:szCs w:val="24"/>
          <w:lang w:val="en-GB"/>
        </w:rPr>
        <w:t>Acknowledgements</w:t>
      </w:r>
    </w:p>
    <w:p w:rsidR="002528F0" w:rsidRPr="00192C69" w:rsidRDefault="002528F0" w:rsidP="00A62A29">
      <w:pPr>
        <w:spacing w:after="200" w:line="276" w:lineRule="auto"/>
        <w:jc w:val="both"/>
        <w:rPr>
          <w:sz w:val="24"/>
          <w:szCs w:val="24"/>
          <w:lang w:val="en-GB"/>
        </w:rPr>
      </w:pPr>
      <w:r w:rsidRPr="00192C69">
        <w:rPr>
          <w:sz w:val="24"/>
          <w:szCs w:val="24"/>
          <w:lang w:val="en-GB"/>
        </w:rPr>
        <w:t>Cesare Costantino, UNWTO Consultant</w:t>
      </w:r>
      <w:r w:rsidR="00192C69" w:rsidRPr="00192C69">
        <w:rPr>
          <w:sz w:val="24"/>
          <w:szCs w:val="24"/>
          <w:lang w:val="en-GB"/>
        </w:rPr>
        <w:t xml:space="preserve">, </w:t>
      </w:r>
      <w:r w:rsidR="00192C69">
        <w:rPr>
          <w:sz w:val="24"/>
          <w:szCs w:val="24"/>
          <w:lang w:val="en-GB"/>
        </w:rPr>
        <w:t xml:space="preserve">provided methodological and conceptual advice throughout the Italian pilot study. We are also grateful for the precious inputs, clarifications and review </w:t>
      </w:r>
      <w:r w:rsidR="00A23762">
        <w:rPr>
          <w:sz w:val="24"/>
          <w:szCs w:val="24"/>
          <w:lang w:val="en-GB"/>
        </w:rPr>
        <w:t>made available</w:t>
      </w:r>
      <w:r w:rsidR="00192C69">
        <w:rPr>
          <w:sz w:val="24"/>
          <w:szCs w:val="24"/>
          <w:lang w:val="en-GB"/>
        </w:rPr>
        <w:t xml:space="preserve"> for this paper. </w:t>
      </w:r>
    </w:p>
    <w:p w:rsidR="00EB2C62" w:rsidRDefault="00A23762" w:rsidP="00A62A29">
      <w:pPr>
        <w:spacing w:after="200" w:line="276" w:lineRule="auto"/>
        <w:jc w:val="both"/>
        <w:rPr>
          <w:sz w:val="24"/>
          <w:szCs w:val="24"/>
          <w:lang w:val="en-GB"/>
        </w:rPr>
      </w:pPr>
      <w:r>
        <w:rPr>
          <w:sz w:val="24"/>
          <w:szCs w:val="24"/>
          <w:lang w:val="en-GB"/>
        </w:rPr>
        <w:t>We would like to thank o</w:t>
      </w:r>
      <w:r w:rsidR="00192C69">
        <w:rPr>
          <w:sz w:val="24"/>
          <w:szCs w:val="24"/>
          <w:lang w:val="en-GB"/>
        </w:rPr>
        <w:t xml:space="preserve">ur colleagues </w:t>
      </w:r>
      <w:r w:rsidR="00192C69" w:rsidRPr="00192C69">
        <w:rPr>
          <w:sz w:val="24"/>
          <w:szCs w:val="24"/>
          <w:lang w:val="en-GB"/>
        </w:rPr>
        <w:t xml:space="preserve">Sandra Maresca </w:t>
      </w:r>
      <w:r w:rsidR="00192C69">
        <w:rPr>
          <w:sz w:val="24"/>
          <w:szCs w:val="24"/>
          <w:lang w:val="en-GB"/>
        </w:rPr>
        <w:t>and Ilaria Piscitelli</w:t>
      </w:r>
      <w:r>
        <w:rPr>
          <w:sz w:val="24"/>
          <w:szCs w:val="24"/>
          <w:lang w:val="en-GB"/>
        </w:rPr>
        <w:t xml:space="preserve"> for the </w:t>
      </w:r>
      <w:r w:rsidRPr="00192C69">
        <w:rPr>
          <w:sz w:val="24"/>
          <w:szCs w:val="24"/>
          <w:lang w:val="en-GB"/>
        </w:rPr>
        <w:t>detailed explanati</w:t>
      </w:r>
      <w:r>
        <w:rPr>
          <w:sz w:val="24"/>
          <w:szCs w:val="24"/>
          <w:lang w:val="en-GB"/>
        </w:rPr>
        <w:t>ons on the Italian TSA</w:t>
      </w:r>
      <w:r w:rsidR="00192C69">
        <w:rPr>
          <w:sz w:val="24"/>
          <w:szCs w:val="24"/>
          <w:lang w:val="en-GB"/>
        </w:rPr>
        <w:t xml:space="preserve">. </w:t>
      </w:r>
    </w:p>
    <w:p w:rsidR="00A23762" w:rsidRDefault="00A23762" w:rsidP="00A62A29">
      <w:pPr>
        <w:spacing w:after="200" w:line="276" w:lineRule="auto"/>
        <w:jc w:val="both"/>
        <w:rPr>
          <w:lang w:val="en-US"/>
        </w:rPr>
      </w:pPr>
      <w:r>
        <w:rPr>
          <w:sz w:val="24"/>
          <w:szCs w:val="24"/>
          <w:lang w:val="en-GB"/>
        </w:rPr>
        <w:t>All responsibilities for possible misunderstandings and mistakes are of course our</w:t>
      </w:r>
      <w:r w:rsidR="00317DBB">
        <w:rPr>
          <w:sz w:val="24"/>
          <w:szCs w:val="24"/>
          <w:lang w:val="en-GB"/>
        </w:rPr>
        <w:t xml:space="preserve"> own</w:t>
      </w:r>
      <w:r>
        <w:rPr>
          <w:sz w:val="24"/>
          <w:szCs w:val="24"/>
          <w:lang w:val="en-GB"/>
        </w:rPr>
        <w:t xml:space="preserve">. </w:t>
      </w:r>
    </w:p>
    <w:p w:rsidR="00EB2C62" w:rsidRDefault="00EB2C62">
      <w:pPr>
        <w:spacing w:after="200" w:line="276" w:lineRule="auto"/>
        <w:rPr>
          <w:rFonts w:asciiTheme="majorHAnsi" w:eastAsiaTheme="majorEastAsia" w:hAnsiTheme="majorHAnsi" w:cstheme="majorBidi"/>
          <w:b/>
          <w:bCs/>
          <w:color w:val="4F81BD" w:themeColor="accent1"/>
          <w:sz w:val="26"/>
          <w:szCs w:val="26"/>
          <w:lang w:val="en-US"/>
        </w:rPr>
      </w:pPr>
      <w:r>
        <w:rPr>
          <w:lang w:val="en-US"/>
        </w:rPr>
        <w:br w:type="page"/>
      </w:r>
    </w:p>
    <w:p w:rsidR="003128D3" w:rsidRDefault="003128D3" w:rsidP="003128D3">
      <w:pPr>
        <w:pStyle w:val="Rubrik2"/>
        <w:rPr>
          <w:lang w:val="en-US"/>
        </w:rPr>
      </w:pPr>
      <w:bookmarkStart w:id="2" w:name="_Toc524965940"/>
      <w:r w:rsidRPr="004E19C0">
        <w:rPr>
          <w:lang w:val="en-US"/>
        </w:rPr>
        <w:lastRenderedPageBreak/>
        <w:t>Abstract</w:t>
      </w:r>
      <w:bookmarkEnd w:id="2"/>
      <w:r w:rsidRPr="004E19C0">
        <w:rPr>
          <w:lang w:val="en-US"/>
        </w:rPr>
        <w:t xml:space="preserve"> </w:t>
      </w:r>
    </w:p>
    <w:p w:rsidR="00176D15" w:rsidRPr="00CD65C0" w:rsidRDefault="003128D3" w:rsidP="00CD65C0">
      <w:pPr>
        <w:jc w:val="both"/>
        <w:rPr>
          <w:sz w:val="24"/>
          <w:szCs w:val="24"/>
          <w:lang w:val="en-GB"/>
        </w:rPr>
      </w:pPr>
      <w:r w:rsidRPr="00CD65C0">
        <w:rPr>
          <w:sz w:val="24"/>
          <w:szCs w:val="24"/>
          <w:lang w:val="en-GB"/>
        </w:rPr>
        <w:t>Since 2015, developing accounting frameworks for sustainable tourism has been</w:t>
      </w:r>
      <w:r w:rsidR="00F1275A" w:rsidRPr="00CD65C0">
        <w:rPr>
          <w:sz w:val="24"/>
          <w:szCs w:val="24"/>
          <w:lang w:val="en-GB"/>
        </w:rPr>
        <w:t xml:space="preserve"> </w:t>
      </w:r>
      <w:r w:rsidRPr="00CD65C0">
        <w:rPr>
          <w:sz w:val="24"/>
          <w:szCs w:val="24"/>
          <w:lang w:val="en-GB"/>
        </w:rPr>
        <w:t xml:space="preserve">one of the main objectives of the </w:t>
      </w:r>
      <w:r w:rsidR="004F46AC" w:rsidRPr="00CD65C0">
        <w:rPr>
          <w:sz w:val="24"/>
          <w:szCs w:val="24"/>
          <w:lang w:val="en-GB"/>
        </w:rPr>
        <w:t>Measuring Sustainable Tourism (MST) project</w:t>
      </w:r>
      <w:r w:rsidR="00F1275A" w:rsidRPr="00CD65C0">
        <w:rPr>
          <w:sz w:val="24"/>
          <w:szCs w:val="24"/>
          <w:lang w:val="en-GB"/>
        </w:rPr>
        <w:t>,</w:t>
      </w:r>
      <w:r w:rsidR="004F46AC" w:rsidRPr="00CD65C0">
        <w:rPr>
          <w:sz w:val="24"/>
          <w:szCs w:val="24"/>
          <w:lang w:val="en-GB"/>
        </w:rPr>
        <w:t xml:space="preserve"> launched by the </w:t>
      </w:r>
      <w:r w:rsidRPr="00CD65C0">
        <w:rPr>
          <w:sz w:val="24"/>
          <w:szCs w:val="24"/>
          <w:lang w:val="en-GB"/>
        </w:rPr>
        <w:t xml:space="preserve">World Tourism Organization (UNWTO) </w:t>
      </w:r>
      <w:r w:rsidR="003C3350">
        <w:rPr>
          <w:sz w:val="24"/>
          <w:szCs w:val="24"/>
          <w:lang w:val="en-GB"/>
        </w:rPr>
        <w:t>in cooperation with</w:t>
      </w:r>
      <w:r w:rsidR="003C3350" w:rsidRPr="00CD65C0">
        <w:rPr>
          <w:sz w:val="24"/>
          <w:szCs w:val="24"/>
          <w:lang w:val="en-GB"/>
        </w:rPr>
        <w:t xml:space="preserve"> </w:t>
      </w:r>
      <w:r w:rsidR="00412CA8" w:rsidRPr="00CD65C0">
        <w:rPr>
          <w:sz w:val="24"/>
          <w:szCs w:val="24"/>
          <w:lang w:val="en-GB"/>
        </w:rPr>
        <w:t xml:space="preserve">the UN Statistics Division (UNSD) </w:t>
      </w:r>
      <w:r w:rsidR="004F46AC" w:rsidRPr="00CD65C0">
        <w:rPr>
          <w:sz w:val="24"/>
          <w:szCs w:val="24"/>
          <w:lang w:val="en-GB"/>
        </w:rPr>
        <w:t xml:space="preserve">and </w:t>
      </w:r>
      <w:r w:rsidRPr="00CD65C0">
        <w:rPr>
          <w:sz w:val="24"/>
          <w:szCs w:val="24"/>
          <w:lang w:val="en-GB"/>
        </w:rPr>
        <w:t xml:space="preserve">supported by the UN Statistical Commission </w:t>
      </w:r>
      <w:r w:rsidRPr="00E84701">
        <w:rPr>
          <w:sz w:val="24"/>
          <w:szCs w:val="24"/>
          <w:lang w:val="en-GB"/>
        </w:rPr>
        <w:t>(UNWTO, 2016)</w:t>
      </w:r>
      <w:r w:rsidRPr="00CD65C0">
        <w:rPr>
          <w:sz w:val="24"/>
          <w:szCs w:val="24"/>
          <w:lang w:val="en-GB"/>
        </w:rPr>
        <w:t xml:space="preserve">. In the UNWTO approach, the proposed </w:t>
      </w:r>
      <w:r w:rsidR="00917222">
        <w:rPr>
          <w:sz w:val="24"/>
          <w:szCs w:val="24"/>
          <w:lang w:val="en-GB"/>
        </w:rPr>
        <w:t xml:space="preserve">statistical </w:t>
      </w:r>
      <w:r w:rsidRPr="00CD65C0">
        <w:rPr>
          <w:sz w:val="24"/>
          <w:szCs w:val="24"/>
          <w:lang w:val="en-GB"/>
        </w:rPr>
        <w:t xml:space="preserve">framework </w:t>
      </w:r>
      <w:r w:rsidR="00F1275A" w:rsidRPr="00CD65C0">
        <w:rPr>
          <w:sz w:val="24"/>
          <w:szCs w:val="24"/>
          <w:lang w:val="en-GB"/>
        </w:rPr>
        <w:t xml:space="preserve">for measuring sustainable tourism </w:t>
      </w:r>
      <w:r w:rsidR="00917222">
        <w:rPr>
          <w:sz w:val="24"/>
          <w:szCs w:val="24"/>
          <w:lang w:val="en-GB"/>
        </w:rPr>
        <w:t xml:space="preserve">(SF-MST) </w:t>
      </w:r>
      <w:r w:rsidR="003C3350">
        <w:rPr>
          <w:sz w:val="24"/>
          <w:szCs w:val="24"/>
          <w:lang w:val="en-GB"/>
        </w:rPr>
        <w:t xml:space="preserve">is very much </w:t>
      </w:r>
      <w:r w:rsidR="009914C3">
        <w:rPr>
          <w:sz w:val="24"/>
          <w:szCs w:val="24"/>
          <w:lang w:val="en-GB"/>
        </w:rPr>
        <w:t>centred</w:t>
      </w:r>
      <w:r w:rsidR="003C3350">
        <w:rPr>
          <w:sz w:val="24"/>
          <w:szCs w:val="24"/>
          <w:lang w:val="en-GB"/>
        </w:rPr>
        <w:t xml:space="preserve"> on</w:t>
      </w:r>
      <w:r w:rsidRPr="00CD65C0">
        <w:rPr>
          <w:sz w:val="24"/>
          <w:szCs w:val="24"/>
          <w:lang w:val="en-GB"/>
        </w:rPr>
        <w:t xml:space="preserve"> the integration of two existing accounting frameworks – the Tourism Satellite Accounts (TSA) and the System of Environmental-Economic Accounting (SEEA), both consistent with the accounting framework for measuring the economy – the System of National Accounts (SNA). An initial set of relevant accounts and tables and related indicators</w:t>
      </w:r>
      <w:r w:rsidRPr="00CD65C0">
        <w:rPr>
          <w:i/>
          <w:sz w:val="24"/>
          <w:szCs w:val="24"/>
          <w:lang w:val="en-GB"/>
        </w:rPr>
        <w:t xml:space="preserve"> </w:t>
      </w:r>
      <w:r w:rsidRPr="00CD65C0">
        <w:rPr>
          <w:sz w:val="24"/>
          <w:szCs w:val="24"/>
          <w:lang w:val="en-GB"/>
        </w:rPr>
        <w:t xml:space="preserve">as well as implementation guidelines are provided in </w:t>
      </w:r>
      <w:r w:rsidR="00317DBB">
        <w:rPr>
          <w:sz w:val="24"/>
          <w:szCs w:val="24"/>
          <w:lang w:val="en-GB"/>
        </w:rPr>
        <w:t>a</w:t>
      </w:r>
      <w:r w:rsidRPr="00CD65C0">
        <w:rPr>
          <w:sz w:val="24"/>
          <w:szCs w:val="24"/>
          <w:lang w:val="en-GB"/>
        </w:rPr>
        <w:t xml:space="preserve"> </w:t>
      </w:r>
      <w:r w:rsidR="00571145" w:rsidRPr="00CD65C0">
        <w:rPr>
          <w:sz w:val="24"/>
          <w:szCs w:val="24"/>
          <w:lang w:val="en-GB"/>
        </w:rPr>
        <w:t xml:space="preserve">technical note </w:t>
      </w:r>
      <w:r w:rsidR="00571145">
        <w:rPr>
          <w:sz w:val="24"/>
          <w:szCs w:val="24"/>
          <w:lang w:val="en-GB"/>
        </w:rPr>
        <w:t xml:space="preserve">on linking </w:t>
      </w:r>
      <w:r w:rsidRPr="00CD65C0">
        <w:rPr>
          <w:sz w:val="24"/>
          <w:szCs w:val="24"/>
          <w:lang w:val="en-GB"/>
        </w:rPr>
        <w:t>TSA</w:t>
      </w:r>
      <w:r w:rsidR="00571145">
        <w:rPr>
          <w:sz w:val="24"/>
          <w:szCs w:val="24"/>
          <w:lang w:val="en-GB"/>
        </w:rPr>
        <w:t xml:space="preserve"> and </w:t>
      </w:r>
      <w:r w:rsidRPr="00CD65C0">
        <w:rPr>
          <w:sz w:val="24"/>
          <w:szCs w:val="24"/>
          <w:lang w:val="en-GB"/>
        </w:rPr>
        <w:t>SEEA (</w:t>
      </w:r>
      <w:r w:rsidR="008D0B73">
        <w:rPr>
          <w:sz w:val="24"/>
          <w:szCs w:val="24"/>
          <w:lang w:val="en-GB"/>
        </w:rPr>
        <w:t>UNWTO, 2018</w:t>
      </w:r>
      <w:r w:rsidR="00317DBB">
        <w:rPr>
          <w:sz w:val="24"/>
          <w:szCs w:val="24"/>
          <w:lang w:val="en-GB"/>
        </w:rPr>
        <w:t>a</w:t>
      </w:r>
      <w:r w:rsidRPr="00CD65C0">
        <w:rPr>
          <w:sz w:val="24"/>
          <w:szCs w:val="24"/>
          <w:lang w:val="en-GB"/>
        </w:rPr>
        <w:t xml:space="preserve">) prepared upon encouragement by the UN Committee of Experts on Environmental-Economic Accounting (UNCEEA) and by the UNWTO Committee on Statistics and </w:t>
      </w:r>
      <w:r w:rsidR="00571145">
        <w:rPr>
          <w:sz w:val="24"/>
          <w:szCs w:val="24"/>
          <w:lang w:val="en-GB"/>
        </w:rPr>
        <w:t xml:space="preserve">the </w:t>
      </w:r>
      <w:r w:rsidRPr="00CD65C0">
        <w:rPr>
          <w:sz w:val="24"/>
          <w:szCs w:val="24"/>
          <w:lang w:val="en-GB"/>
        </w:rPr>
        <w:t>TSA</w:t>
      </w:r>
      <w:r w:rsidRPr="00CD65C0">
        <w:rPr>
          <w:i/>
          <w:sz w:val="24"/>
          <w:szCs w:val="24"/>
          <w:lang w:val="en-GB"/>
        </w:rPr>
        <w:t xml:space="preserve">. </w:t>
      </w:r>
      <w:r w:rsidRPr="00CD65C0">
        <w:rPr>
          <w:sz w:val="24"/>
          <w:szCs w:val="24"/>
          <w:lang w:val="en-GB"/>
        </w:rPr>
        <w:t xml:space="preserve">Further methodological developments, including for example coverage of the social dimension, are provided in the draft Statistical Framework for Measuring Sustainable Tourism </w:t>
      </w:r>
      <w:r w:rsidRPr="00E84701">
        <w:rPr>
          <w:sz w:val="24"/>
          <w:szCs w:val="24"/>
          <w:lang w:val="en-GB"/>
        </w:rPr>
        <w:t>(UNWTO, 201</w:t>
      </w:r>
      <w:r w:rsidR="006E7B81">
        <w:rPr>
          <w:sz w:val="24"/>
          <w:szCs w:val="24"/>
          <w:lang w:val="en-GB"/>
        </w:rPr>
        <w:t>8b</w:t>
      </w:r>
      <w:r w:rsidRPr="00E84701">
        <w:rPr>
          <w:sz w:val="24"/>
          <w:szCs w:val="24"/>
          <w:lang w:val="en-GB"/>
        </w:rPr>
        <w:t>)</w:t>
      </w:r>
      <w:r w:rsidRPr="00CD65C0">
        <w:rPr>
          <w:sz w:val="24"/>
          <w:szCs w:val="24"/>
          <w:lang w:val="en-GB"/>
        </w:rPr>
        <w:t xml:space="preserve">. </w:t>
      </w:r>
    </w:p>
    <w:p w:rsidR="00176D15" w:rsidRPr="00CD65C0" w:rsidRDefault="00EE0986" w:rsidP="00AF5B3E">
      <w:pPr>
        <w:jc w:val="both"/>
        <w:rPr>
          <w:sz w:val="24"/>
          <w:szCs w:val="24"/>
          <w:lang w:val="en-GB"/>
        </w:rPr>
      </w:pPr>
      <w:r>
        <w:rPr>
          <w:sz w:val="24"/>
          <w:szCs w:val="24"/>
          <w:lang w:val="en-GB"/>
        </w:rPr>
        <w:t xml:space="preserve">Within the current SEEA the integration of the economic and the environmental dimensions as concerns specifically the tourism sector </w:t>
      </w:r>
      <w:r w:rsidR="009C7785">
        <w:rPr>
          <w:sz w:val="24"/>
          <w:szCs w:val="24"/>
          <w:lang w:val="en-GB"/>
        </w:rPr>
        <w:t xml:space="preserve">is dealt with in </w:t>
      </w:r>
      <w:r w:rsidR="009C7785" w:rsidRPr="00CD65C0">
        <w:rPr>
          <w:sz w:val="24"/>
          <w:szCs w:val="24"/>
          <w:lang w:val="en-GB"/>
        </w:rPr>
        <w:t>the 2012 SEEA applications and extensions</w:t>
      </w:r>
      <w:r w:rsidR="009C7785">
        <w:rPr>
          <w:sz w:val="24"/>
          <w:szCs w:val="24"/>
          <w:lang w:val="en-GB"/>
        </w:rPr>
        <w:t>.</w:t>
      </w:r>
      <w:r w:rsidR="009C7785" w:rsidRPr="00CD65C0">
        <w:rPr>
          <w:sz w:val="24"/>
          <w:szCs w:val="24"/>
          <w:lang w:val="en-GB"/>
        </w:rPr>
        <w:t xml:space="preserve"> </w:t>
      </w:r>
      <w:r w:rsidR="00412CA8" w:rsidRPr="00CD65C0">
        <w:rPr>
          <w:sz w:val="24"/>
          <w:szCs w:val="24"/>
          <w:lang w:val="en-GB"/>
        </w:rPr>
        <w:t xml:space="preserve">In the context of the SEEA revision, the output of the collaborative UNWTO and UNSD project will allow to develop key aspects of integrating tourism and environmental information beyond those </w:t>
      </w:r>
      <w:r w:rsidR="009C7785">
        <w:rPr>
          <w:sz w:val="24"/>
          <w:szCs w:val="24"/>
          <w:lang w:val="en-GB"/>
        </w:rPr>
        <w:t xml:space="preserve">already </w:t>
      </w:r>
      <w:r w:rsidR="00412CA8" w:rsidRPr="00CD65C0">
        <w:rPr>
          <w:sz w:val="24"/>
          <w:szCs w:val="24"/>
          <w:lang w:val="en-GB"/>
        </w:rPr>
        <w:t xml:space="preserve">covered. </w:t>
      </w:r>
      <w:r w:rsidR="0082514D" w:rsidRPr="00CD65C0">
        <w:rPr>
          <w:sz w:val="24"/>
          <w:szCs w:val="24"/>
          <w:lang w:val="en-GB"/>
        </w:rPr>
        <w:t xml:space="preserve">This development is one of the </w:t>
      </w:r>
      <w:r w:rsidR="00176D15" w:rsidRPr="00CD65C0">
        <w:rPr>
          <w:sz w:val="24"/>
          <w:szCs w:val="24"/>
          <w:lang w:val="en-GB"/>
        </w:rPr>
        <w:t xml:space="preserve">subjects selected for long term development. </w:t>
      </w:r>
    </w:p>
    <w:p w:rsidR="003128D3" w:rsidRPr="00CD65C0" w:rsidRDefault="003128D3" w:rsidP="00CD65C0">
      <w:pPr>
        <w:jc w:val="both"/>
        <w:rPr>
          <w:sz w:val="24"/>
          <w:szCs w:val="24"/>
          <w:lang w:val="en-GB"/>
        </w:rPr>
      </w:pPr>
    </w:p>
    <w:p w:rsidR="003128D3" w:rsidRPr="00CD65C0" w:rsidRDefault="003128D3" w:rsidP="00CD65C0">
      <w:pPr>
        <w:jc w:val="both"/>
        <w:rPr>
          <w:sz w:val="24"/>
          <w:szCs w:val="24"/>
          <w:lang w:val="en-GB"/>
        </w:rPr>
      </w:pPr>
      <w:r w:rsidRPr="00CD65C0">
        <w:rPr>
          <w:sz w:val="24"/>
          <w:szCs w:val="24"/>
          <w:lang w:val="en-GB"/>
        </w:rPr>
        <w:t xml:space="preserve">Istat, as a member of the </w:t>
      </w:r>
      <w:r w:rsidR="00647707" w:rsidRPr="00CD65C0">
        <w:rPr>
          <w:sz w:val="24"/>
          <w:szCs w:val="24"/>
          <w:lang w:val="en-GB"/>
        </w:rPr>
        <w:t xml:space="preserve">UNWTO </w:t>
      </w:r>
      <w:r w:rsidRPr="00CD65C0">
        <w:rPr>
          <w:sz w:val="24"/>
          <w:szCs w:val="24"/>
          <w:lang w:val="en-GB"/>
        </w:rPr>
        <w:t xml:space="preserve">Working Group of Experts on Measuring </w:t>
      </w:r>
      <w:r w:rsidR="009C7785">
        <w:rPr>
          <w:sz w:val="24"/>
          <w:szCs w:val="24"/>
          <w:lang w:val="en-GB"/>
        </w:rPr>
        <w:t xml:space="preserve">the </w:t>
      </w:r>
      <w:r w:rsidRPr="00CD65C0">
        <w:rPr>
          <w:sz w:val="24"/>
          <w:szCs w:val="24"/>
          <w:lang w:val="en-GB"/>
        </w:rPr>
        <w:t>Sustainab</w:t>
      </w:r>
      <w:r w:rsidR="009C7785">
        <w:rPr>
          <w:sz w:val="24"/>
          <w:szCs w:val="24"/>
          <w:lang w:val="en-GB"/>
        </w:rPr>
        <w:t>ility of</w:t>
      </w:r>
      <w:r w:rsidRPr="00CD65C0">
        <w:rPr>
          <w:sz w:val="24"/>
          <w:szCs w:val="24"/>
          <w:lang w:val="en-GB"/>
        </w:rPr>
        <w:t xml:space="preserve"> Tourism, has been involved in the consultations on the draft Statistical Framework and also contributed to the UNWTO project by developing a </w:t>
      </w:r>
      <w:r w:rsidR="00647707">
        <w:rPr>
          <w:sz w:val="24"/>
          <w:szCs w:val="24"/>
          <w:lang w:val="en-GB"/>
        </w:rPr>
        <w:t>pilot</w:t>
      </w:r>
      <w:r w:rsidR="00647707" w:rsidRPr="00CD65C0">
        <w:rPr>
          <w:sz w:val="24"/>
          <w:szCs w:val="24"/>
          <w:lang w:val="en-GB"/>
        </w:rPr>
        <w:t xml:space="preserve"> </w:t>
      </w:r>
      <w:r w:rsidRPr="00CD65C0">
        <w:rPr>
          <w:sz w:val="24"/>
          <w:szCs w:val="24"/>
          <w:lang w:val="en-GB"/>
        </w:rPr>
        <w:t xml:space="preserve">study on environmentally extended tourism satellite accounts for Italy. </w:t>
      </w:r>
    </w:p>
    <w:p w:rsidR="003F15C4" w:rsidRPr="00CD65C0" w:rsidRDefault="003128D3" w:rsidP="00CD65C0">
      <w:pPr>
        <w:jc w:val="both"/>
        <w:rPr>
          <w:sz w:val="24"/>
          <w:szCs w:val="24"/>
          <w:lang w:val="en-GB"/>
        </w:rPr>
      </w:pPr>
      <w:r w:rsidRPr="00CD65C0">
        <w:rPr>
          <w:sz w:val="24"/>
          <w:szCs w:val="24"/>
          <w:lang w:val="en-GB"/>
        </w:rPr>
        <w:t xml:space="preserve">The first part of the paper </w:t>
      </w:r>
      <w:r w:rsidR="003F15C4" w:rsidRPr="00CD65C0">
        <w:rPr>
          <w:sz w:val="24"/>
          <w:szCs w:val="24"/>
          <w:lang w:val="en-GB"/>
        </w:rPr>
        <w:t>deals with the measurement of environmental flows related to tourism industries as well as the portion attributable to visitor activity and hence to tourism (the so called tourism share of environmental flows),</w:t>
      </w:r>
      <w:r w:rsidRPr="00CD65C0">
        <w:rPr>
          <w:sz w:val="24"/>
          <w:szCs w:val="24"/>
          <w:lang w:val="en-GB"/>
        </w:rPr>
        <w:t xml:space="preserve"> on the basis of the experience gained in the context of the Italian case study. </w:t>
      </w:r>
    </w:p>
    <w:p w:rsidR="003128D3" w:rsidRPr="00CD65C0" w:rsidRDefault="003128D3" w:rsidP="00CD65C0">
      <w:pPr>
        <w:jc w:val="both"/>
        <w:rPr>
          <w:sz w:val="24"/>
          <w:szCs w:val="24"/>
          <w:lang w:val="en-GB"/>
        </w:rPr>
      </w:pPr>
      <w:r w:rsidRPr="00CD65C0">
        <w:rPr>
          <w:sz w:val="24"/>
          <w:szCs w:val="24"/>
          <w:lang w:val="en-GB"/>
        </w:rPr>
        <w:t xml:space="preserve">The second part of the </w:t>
      </w:r>
      <w:r w:rsidR="00FB666C">
        <w:rPr>
          <w:sz w:val="24"/>
          <w:szCs w:val="24"/>
          <w:lang w:val="en-GB"/>
        </w:rPr>
        <w:t xml:space="preserve">paper covers </w:t>
      </w:r>
      <w:r w:rsidR="005025A1">
        <w:rPr>
          <w:sz w:val="24"/>
          <w:szCs w:val="24"/>
          <w:lang w:val="en-GB"/>
        </w:rPr>
        <w:t xml:space="preserve">the </w:t>
      </w:r>
      <w:r w:rsidR="00FB666C">
        <w:rPr>
          <w:sz w:val="24"/>
          <w:szCs w:val="24"/>
          <w:lang w:val="en-GB"/>
        </w:rPr>
        <w:t xml:space="preserve">issue </w:t>
      </w:r>
      <w:r w:rsidR="005025A1">
        <w:rPr>
          <w:sz w:val="24"/>
          <w:szCs w:val="24"/>
          <w:lang w:val="en-GB"/>
        </w:rPr>
        <w:t xml:space="preserve">of </w:t>
      </w:r>
      <w:r w:rsidR="005025A1" w:rsidRPr="00CD65C0">
        <w:rPr>
          <w:sz w:val="24"/>
          <w:szCs w:val="24"/>
          <w:lang w:val="en-GB"/>
        </w:rPr>
        <w:t>the calculation of environmental flows according</w:t>
      </w:r>
      <w:r w:rsidR="005025A1">
        <w:rPr>
          <w:sz w:val="24"/>
          <w:szCs w:val="24"/>
          <w:lang w:val="en-GB"/>
        </w:rPr>
        <w:t xml:space="preserve"> to the consumption perspective, </w:t>
      </w:r>
      <w:r w:rsidRPr="00CD65C0">
        <w:rPr>
          <w:sz w:val="24"/>
          <w:szCs w:val="24"/>
          <w:lang w:val="en-GB"/>
        </w:rPr>
        <w:t xml:space="preserve">not implemented </w:t>
      </w:r>
      <w:r w:rsidR="005025A1">
        <w:rPr>
          <w:sz w:val="24"/>
          <w:szCs w:val="24"/>
          <w:lang w:val="en-GB"/>
        </w:rPr>
        <w:t xml:space="preserve">in </w:t>
      </w:r>
      <w:r w:rsidRPr="00CD65C0">
        <w:rPr>
          <w:sz w:val="24"/>
          <w:szCs w:val="24"/>
          <w:lang w:val="en-GB"/>
        </w:rPr>
        <w:t>the Italian case study</w:t>
      </w:r>
      <w:r w:rsidR="005025A1">
        <w:rPr>
          <w:sz w:val="24"/>
          <w:szCs w:val="24"/>
          <w:lang w:val="en-GB"/>
        </w:rPr>
        <w:t xml:space="preserve">. </w:t>
      </w:r>
    </w:p>
    <w:p w:rsidR="003128D3" w:rsidRDefault="003128D3">
      <w:pPr>
        <w:spacing w:after="200" w:line="276" w:lineRule="auto"/>
        <w:rPr>
          <w:lang w:val="en-GB"/>
        </w:rPr>
      </w:pPr>
      <w:r>
        <w:rPr>
          <w:lang w:val="en-GB"/>
        </w:rPr>
        <w:br w:type="page"/>
      </w:r>
    </w:p>
    <w:p w:rsidR="003128D3" w:rsidRPr="001325E2" w:rsidRDefault="001325E2" w:rsidP="00C07FDE">
      <w:pPr>
        <w:pStyle w:val="Rubrik2"/>
        <w:spacing w:line="276" w:lineRule="auto"/>
        <w:rPr>
          <w:lang w:val="en-US"/>
        </w:rPr>
      </w:pPr>
      <w:bookmarkStart w:id="3" w:name="_Toc524965941"/>
      <w:r w:rsidRPr="001325E2">
        <w:rPr>
          <w:lang w:val="en-US"/>
        </w:rPr>
        <w:lastRenderedPageBreak/>
        <w:t>Background and outline of the paper</w:t>
      </w:r>
      <w:bookmarkEnd w:id="3"/>
    </w:p>
    <w:p w:rsidR="005F13E1" w:rsidRPr="00CD65C0" w:rsidRDefault="00A50115" w:rsidP="00CD65C0">
      <w:pPr>
        <w:jc w:val="both"/>
        <w:rPr>
          <w:rFonts w:cstheme="minorHAnsi"/>
          <w:sz w:val="24"/>
          <w:szCs w:val="24"/>
          <w:highlight w:val="lightGray"/>
          <w:lang w:val="en-US"/>
        </w:rPr>
      </w:pPr>
      <w:r w:rsidRPr="00CD65C0">
        <w:rPr>
          <w:sz w:val="24"/>
          <w:szCs w:val="24"/>
          <w:lang w:val="en-US"/>
        </w:rPr>
        <w:t xml:space="preserve">The Measuring Sustainable Tourism (MST) initiative of the UN World Tourism Organization (UNWTO) </w:t>
      </w:r>
      <w:r w:rsidR="00D83622" w:rsidRPr="00D83622">
        <w:rPr>
          <w:sz w:val="24"/>
          <w:szCs w:val="24"/>
          <w:lang w:val="en-US"/>
        </w:rPr>
        <w:t>with the par</w:t>
      </w:r>
      <w:r w:rsidR="00897A4F">
        <w:rPr>
          <w:sz w:val="24"/>
          <w:szCs w:val="24"/>
          <w:lang w:val="en-US"/>
        </w:rPr>
        <w:t>t</w:t>
      </w:r>
      <w:r w:rsidR="00D83622" w:rsidRPr="00D83622">
        <w:rPr>
          <w:sz w:val="24"/>
          <w:szCs w:val="24"/>
          <w:lang w:val="en-US"/>
        </w:rPr>
        <w:t>nership of the United Nations Statistics Division (UNSD)</w:t>
      </w:r>
      <w:r w:rsidRPr="00CD65C0">
        <w:rPr>
          <w:sz w:val="24"/>
          <w:szCs w:val="24"/>
          <w:lang w:val="en-US"/>
        </w:rPr>
        <w:t xml:space="preserve">, launched in 2015, aims, in general, at improving the organization and dissemination of </w:t>
      </w:r>
      <w:r w:rsidR="00D83622">
        <w:rPr>
          <w:sz w:val="24"/>
          <w:szCs w:val="24"/>
          <w:lang w:val="en-US"/>
        </w:rPr>
        <w:t xml:space="preserve">statistical </w:t>
      </w:r>
      <w:r w:rsidRPr="00CD65C0">
        <w:rPr>
          <w:sz w:val="24"/>
          <w:szCs w:val="24"/>
          <w:lang w:val="en-US"/>
        </w:rPr>
        <w:t xml:space="preserve">information regarding tourism and sustainable development. </w:t>
      </w:r>
    </w:p>
    <w:p w:rsidR="00E373B5" w:rsidRDefault="005F13E1" w:rsidP="00CD65C0">
      <w:pPr>
        <w:jc w:val="both"/>
        <w:rPr>
          <w:sz w:val="24"/>
          <w:szCs w:val="24"/>
          <w:lang w:val="en-US"/>
        </w:rPr>
      </w:pPr>
      <w:r w:rsidRPr="00CD65C0">
        <w:rPr>
          <w:sz w:val="24"/>
          <w:szCs w:val="24"/>
          <w:lang w:val="en-US"/>
        </w:rPr>
        <w:t xml:space="preserve">Within this </w:t>
      </w:r>
      <w:r w:rsidR="00CC7E3B">
        <w:rPr>
          <w:sz w:val="24"/>
          <w:szCs w:val="24"/>
          <w:lang w:val="en-US"/>
        </w:rPr>
        <w:t xml:space="preserve">general </w:t>
      </w:r>
      <w:r w:rsidRPr="00CD65C0">
        <w:rPr>
          <w:sz w:val="24"/>
          <w:szCs w:val="24"/>
          <w:lang w:val="en-US"/>
        </w:rPr>
        <w:t xml:space="preserve">context, </w:t>
      </w:r>
      <w:r w:rsidR="00CC7E3B">
        <w:rPr>
          <w:sz w:val="24"/>
          <w:szCs w:val="24"/>
          <w:lang w:val="en-US"/>
        </w:rPr>
        <w:t xml:space="preserve">which covers the </w:t>
      </w:r>
      <w:r w:rsidR="00CC7E3B" w:rsidRPr="00CC7E3B">
        <w:rPr>
          <w:sz w:val="24"/>
          <w:szCs w:val="24"/>
          <w:lang w:val="en-US"/>
        </w:rPr>
        <w:t xml:space="preserve">economic, environmental and social dimensions of sustainable  tourism </w:t>
      </w:r>
      <w:r w:rsidRPr="00CD65C0">
        <w:rPr>
          <w:sz w:val="24"/>
          <w:szCs w:val="24"/>
          <w:lang w:val="en-US"/>
        </w:rPr>
        <w:t xml:space="preserve">this paper deals with one specific stream of work, </w:t>
      </w:r>
      <w:r w:rsidR="00040536" w:rsidRPr="00CD65C0">
        <w:rPr>
          <w:sz w:val="24"/>
          <w:szCs w:val="24"/>
          <w:lang w:val="en-US"/>
        </w:rPr>
        <w:t xml:space="preserve">i.e. </w:t>
      </w:r>
      <w:r w:rsidRPr="00CD65C0">
        <w:rPr>
          <w:sz w:val="24"/>
          <w:szCs w:val="24"/>
          <w:lang w:val="en-US"/>
        </w:rPr>
        <w:t xml:space="preserve">the </w:t>
      </w:r>
      <w:r w:rsidR="00BB6559" w:rsidRPr="00CD65C0">
        <w:rPr>
          <w:sz w:val="24"/>
          <w:szCs w:val="24"/>
          <w:lang w:val="en-US"/>
        </w:rPr>
        <w:t xml:space="preserve">design </w:t>
      </w:r>
      <w:r w:rsidR="00040536" w:rsidRPr="00CD65C0">
        <w:rPr>
          <w:sz w:val="24"/>
          <w:szCs w:val="24"/>
          <w:lang w:val="en-US"/>
        </w:rPr>
        <w:t xml:space="preserve">and implementation </w:t>
      </w:r>
      <w:r w:rsidR="00BB6559" w:rsidRPr="00CD65C0">
        <w:rPr>
          <w:sz w:val="24"/>
          <w:szCs w:val="24"/>
          <w:lang w:val="en-US"/>
        </w:rPr>
        <w:t>of a</w:t>
      </w:r>
      <w:r w:rsidR="00647707">
        <w:rPr>
          <w:sz w:val="24"/>
          <w:szCs w:val="24"/>
          <w:lang w:val="en-US"/>
        </w:rPr>
        <w:t>n accounting</w:t>
      </w:r>
      <w:r w:rsidR="00BB6559" w:rsidRPr="00CD65C0">
        <w:rPr>
          <w:sz w:val="24"/>
          <w:szCs w:val="24"/>
          <w:lang w:val="en-US"/>
        </w:rPr>
        <w:t xml:space="preserve"> framework describing the </w:t>
      </w:r>
      <w:r w:rsidRPr="00CD65C0">
        <w:rPr>
          <w:sz w:val="24"/>
          <w:szCs w:val="24"/>
          <w:lang w:val="en-US"/>
        </w:rPr>
        <w:t>interrelationships between economic and environmental aspects</w:t>
      </w:r>
      <w:r w:rsidR="00AD2516" w:rsidRPr="00CD65C0">
        <w:rPr>
          <w:sz w:val="24"/>
          <w:szCs w:val="24"/>
          <w:lang w:val="en-US"/>
        </w:rPr>
        <w:t xml:space="preserve"> of tourism</w:t>
      </w:r>
      <w:r w:rsidR="00E373B5">
        <w:rPr>
          <w:rStyle w:val="Fotnotsreferens"/>
          <w:sz w:val="24"/>
          <w:szCs w:val="24"/>
          <w:lang w:val="en-US"/>
        </w:rPr>
        <w:footnoteReference w:id="1"/>
      </w:r>
      <w:r w:rsidRPr="00CD65C0">
        <w:rPr>
          <w:sz w:val="24"/>
          <w:szCs w:val="24"/>
          <w:lang w:val="en-US"/>
        </w:rPr>
        <w:t xml:space="preserve">. </w:t>
      </w:r>
    </w:p>
    <w:p w:rsidR="00040536" w:rsidRPr="00CD65C0" w:rsidRDefault="00040536" w:rsidP="00CD65C0">
      <w:pPr>
        <w:jc w:val="both"/>
        <w:rPr>
          <w:sz w:val="24"/>
          <w:szCs w:val="24"/>
          <w:lang w:val="en-US"/>
        </w:rPr>
      </w:pPr>
      <w:r w:rsidRPr="00CD65C0">
        <w:rPr>
          <w:sz w:val="24"/>
          <w:szCs w:val="24"/>
          <w:lang w:val="en-US"/>
        </w:rPr>
        <w:t>R</w:t>
      </w:r>
      <w:r w:rsidR="00AD2516" w:rsidRPr="00CD65C0">
        <w:rPr>
          <w:sz w:val="24"/>
          <w:szCs w:val="24"/>
          <w:lang w:val="en-US"/>
        </w:rPr>
        <w:t xml:space="preserve">ecognizing that accounting frameworks have a high potential for </w:t>
      </w:r>
      <w:r w:rsidR="00612BD3">
        <w:rPr>
          <w:sz w:val="24"/>
          <w:szCs w:val="24"/>
          <w:lang w:val="en-US"/>
        </w:rPr>
        <w:t>measuring the sustainability of</w:t>
      </w:r>
      <w:r w:rsidR="00AD2516" w:rsidRPr="00CD65C0">
        <w:rPr>
          <w:sz w:val="24"/>
          <w:szCs w:val="24"/>
          <w:lang w:val="en-US"/>
        </w:rPr>
        <w:t xml:space="preserve"> tourism</w:t>
      </w:r>
      <w:r w:rsidRPr="00CD65C0">
        <w:rPr>
          <w:sz w:val="24"/>
          <w:szCs w:val="24"/>
          <w:lang w:val="en-US"/>
        </w:rPr>
        <w:t xml:space="preserve">, the </w:t>
      </w:r>
      <w:r w:rsidR="00E07082">
        <w:rPr>
          <w:sz w:val="24"/>
          <w:szCs w:val="24"/>
          <w:lang w:val="en-US"/>
        </w:rPr>
        <w:t xml:space="preserve">main </w:t>
      </w:r>
      <w:r w:rsidR="00335AA1" w:rsidRPr="00CD65C0">
        <w:rPr>
          <w:sz w:val="24"/>
          <w:szCs w:val="24"/>
          <w:lang w:val="en-US"/>
        </w:rPr>
        <w:t xml:space="preserve">idea behind the </w:t>
      </w:r>
      <w:r w:rsidR="00D83622">
        <w:rPr>
          <w:sz w:val="24"/>
          <w:szCs w:val="24"/>
          <w:lang w:val="en-US"/>
        </w:rPr>
        <w:t xml:space="preserve">MST </w:t>
      </w:r>
      <w:r w:rsidR="00335AA1" w:rsidRPr="00CD65C0">
        <w:rPr>
          <w:sz w:val="24"/>
          <w:szCs w:val="24"/>
          <w:lang w:val="en-US"/>
        </w:rPr>
        <w:t xml:space="preserve">project is </w:t>
      </w:r>
      <w:r w:rsidR="00612BD3">
        <w:rPr>
          <w:sz w:val="24"/>
          <w:szCs w:val="24"/>
          <w:lang w:val="en-US"/>
        </w:rPr>
        <w:t xml:space="preserve">to </w:t>
      </w:r>
      <w:r w:rsidR="00335AA1" w:rsidRPr="00CD65C0">
        <w:rPr>
          <w:sz w:val="24"/>
          <w:szCs w:val="24"/>
          <w:lang w:val="en-US"/>
        </w:rPr>
        <w:t xml:space="preserve">integrate </w:t>
      </w:r>
      <w:r w:rsidR="00AD2516" w:rsidRPr="00CD65C0">
        <w:rPr>
          <w:sz w:val="24"/>
          <w:szCs w:val="24"/>
          <w:lang w:val="en-US"/>
        </w:rPr>
        <w:t>two existing accounting frameworks</w:t>
      </w:r>
      <w:r w:rsidRPr="00CD65C0">
        <w:rPr>
          <w:sz w:val="24"/>
          <w:szCs w:val="24"/>
          <w:lang w:val="en-US"/>
        </w:rPr>
        <w:t>:</w:t>
      </w:r>
      <w:r w:rsidR="00AD2516" w:rsidRPr="00CD65C0">
        <w:rPr>
          <w:sz w:val="24"/>
          <w:szCs w:val="24"/>
          <w:lang w:val="en-US"/>
        </w:rPr>
        <w:t xml:space="preserve"> the Tourism Satellite Accounts (TSA</w:t>
      </w:r>
      <w:r w:rsidR="00453CB8">
        <w:rPr>
          <w:rStyle w:val="Fotnotsreferens"/>
          <w:sz w:val="24"/>
          <w:szCs w:val="24"/>
          <w:lang w:val="en-US"/>
        </w:rPr>
        <w:footnoteReference w:id="2"/>
      </w:r>
      <w:r w:rsidR="00AD2516" w:rsidRPr="00CD65C0">
        <w:rPr>
          <w:sz w:val="24"/>
          <w:szCs w:val="24"/>
          <w:lang w:val="en-US"/>
        </w:rPr>
        <w:t>) and the System of Environmental-Economic Accounting (SEEA</w:t>
      </w:r>
      <w:r w:rsidR="00453CB8">
        <w:rPr>
          <w:rStyle w:val="Fotnotsreferens"/>
          <w:sz w:val="24"/>
          <w:szCs w:val="24"/>
          <w:lang w:val="en-US"/>
        </w:rPr>
        <w:footnoteReference w:id="3"/>
      </w:r>
      <w:r w:rsidR="00AD2516" w:rsidRPr="00CD65C0">
        <w:rPr>
          <w:sz w:val="24"/>
          <w:szCs w:val="24"/>
          <w:lang w:val="en-US"/>
        </w:rPr>
        <w:t>), both consistent with the accounting framework for measuring the economy – the System of National Accounts (SNA)</w:t>
      </w:r>
      <w:r w:rsidR="00873F65" w:rsidRPr="00CD65C0">
        <w:rPr>
          <w:sz w:val="24"/>
          <w:szCs w:val="24"/>
          <w:lang w:val="en-US"/>
        </w:rPr>
        <w:t xml:space="preserve">. </w:t>
      </w:r>
    </w:p>
    <w:p w:rsidR="00FF7036" w:rsidRPr="00CD65C0" w:rsidRDefault="00040536" w:rsidP="00CD65C0">
      <w:pPr>
        <w:jc w:val="both"/>
        <w:rPr>
          <w:rFonts w:cstheme="minorHAnsi"/>
          <w:sz w:val="24"/>
          <w:szCs w:val="24"/>
          <w:lang w:val="en-US"/>
        </w:rPr>
      </w:pPr>
      <w:r w:rsidRPr="00CD65C0">
        <w:rPr>
          <w:rFonts w:cstheme="minorHAnsi"/>
          <w:sz w:val="24"/>
          <w:szCs w:val="24"/>
          <w:lang w:val="en-US"/>
        </w:rPr>
        <w:t>The TSA</w:t>
      </w:r>
      <w:r w:rsidR="00FF7036" w:rsidRPr="00CD65C0">
        <w:rPr>
          <w:rFonts w:cstheme="minorHAnsi"/>
          <w:sz w:val="24"/>
          <w:szCs w:val="24"/>
          <w:lang w:val="en-US"/>
        </w:rPr>
        <w:t>, which provides the definition and classification of tourism products, tourism characteristic activities and tourism industries</w:t>
      </w:r>
      <w:r w:rsidR="0003183D" w:rsidRPr="00CD65C0">
        <w:rPr>
          <w:rFonts w:cstheme="minorHAnsi"/>
          <w:sz w:val="24"/>
          <w:szCs w:val="24"/>
          <w:lang w:val="en-US"/>
        </w:rPr>
        <w:t xml:space="preserve">, </w:t>
      </w:r>
      <w:r w:rsidRPr="00CD65C0">
        <w:rPr>
          <w:rFonts w:cstheme="minorHAnsi"/>
          <w:sz w:val="24"/>
          <w:szCs w:val="24"/>
          <w:lang w:val="en-US"/>
        </w:rPr>
        <w:t xml:space="preserve">aims at measuring tourism activity and its economic contribution, </w:t>
      </w:r>
      <w:r w:rsidR="00A35C21">
        <w:rPr>
          <w:rFonts w:cstheme="minorHAnsi"/>
          <w:sz w:val="24"/>
          <w:szCs w:val="24"/>
          <w:lang w:val="en-US"/>
        </w:rPr>
        <w:t xml:space="preserve">from </w:t>
      </w:r>
      <w:r w:rsidR="00A35C21" w:rsidRPr="00A35C21">
        <w:rPr>
          <w:sz w:val="24"/>
          <w:szCs w:val="24"/>
          <w:lang w:val="en-US"/>
        </w:rPr>
        <w:t xml:space="preserve">two main </w:t>
      </w:r>
      <w:r w:rsidR="00A35C21">
        <w:rPr>
          <w:sz w:val="24"/>
          <w:szCs w:val="24"/>
          <w:lang w:val="en-US"/>
        </w:rPr>
        <w:t xml:space="preserve">standpoints, </w:t>
      </w:r>
      <w:r w:rsidR="00FF7036" w:rsidRPr="00CD65C0">
        <w:rPr>
          <w:rFonts w:cstheme="minorHAnsi"/>
          <w:sz w:val="24"/>
          <w:szCs w:val="24"/>
          <w:lang w:val="en-US"/>
        </w:rPr>
        <w:t xml:space="preserve">specifically: </w:t>
      </w:r>
    </w:p>
    <w:p w:rsidR="00FF7036" w:rsidRPr="00CD65C0" w:rsidRDefault="00A35C21" w:rsidP="00CD65C0">
      <w:pPr>
        <w:pStyle w:val="Liststycke"/>
        <w:numPr>
          <w:ilvl w:val="0"/>
          <w:numId w:val="6"/>
        </w:numPr>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Demand perspective, mainly focusing on </w:t>
      </w:r>
      <w:r w:rsidR="00FF7036" w:rsidRPr="00CD65C0">
        <w:rPr>
          <w:rFonts w:asciiTheme="minorHAnsi" w:hAnsiTheme="minorHAnsi" w:cstheme="minorHAnsi"/>
          <w:sz w:val="24"/>
          <w:szCs w:val="24"/>
          <w:lang w:val="en-US"/>
        </w:rPr>
        <w:t xml:space="preserve">tourism </w:t>
      </w:r>
      <w:r w:rsidR="00FF7036" w:rsidRPr="00A35C21">
        <w:rPr>
          <w:rFonts w:asciiTheme="minorHAnsi" w:hAnsiTheme="minorHAnsi" w:cstheme="minorHAnsi"/>
          <w:i/>
          <w:sz w:val="24"/>
          <w:szCs w:val="24"/>
          <w:lang w:val="en-US"/>
        </w:rPr>
        <w:t>expenditure</w:t>
      </w:r>
      <w:r w:rsidR="00FF7036" w:rsidRPr="00CD65C0">
        <w:rPr>
          <w:rFonts w:asciiTheme="minorHAnsi" w:hAnsiTheme="minorHAnsi" w:cstheme="minorHAnsi"/>
          <w:sz w:val="24"/>
          <w:szCs w:val="24"/>
          <w:lang w:val="en-US"/>
        </w:rPr>
        <w:t xml:space="preserve"> and </w:t>
      </w:r>
      <w:r w:rsidR="00FF7036" w:rsidRPr="00A35C21">
        <w:rPr>
          <w:rFonts w:asciiTheme="minorHAnsi" w:hAnsiTheme="minorHAnsi" w:cstheme="minorHAnsi"/>
          <w:i/>
          <w:sz w:val="24"/>
          <w:szCs w:val="24"/>
          <w:lang w:val="en-US"/>
        </w:rPr>
        <w:t>co</w:t>
      </w:r>
      <w:r w:rsidR="00335AA1" w:rsidRPr="00A35C21">
        <w:rPr>
          <w:rFonts w:asciiTheme="minorHAnsi" w:hAnsiTheme="minorHAnsi" w:cstheme="minorHAnsi"/>
          <w:i/>
          <w:sz w:val="24"/>
          <w:szCs w:val="24"/>
          <w:lang w:val="en-US"/>
        </w:rPr>
        <w:t>nsumption</w:t>
      </w:r>
      <w:r w:rsidR="00335AA1" w:rsidRPr="00CD65C0">
        <w:rPr>
          <w:rFonts w:asciiTheme="minorHAnsi" w:hAnsiTheme="minorHAnsi" w:cstheme="minorHAnsi"/>
          <w:sz w:val="24"/>
          <w:szCs w:val="24"/>
          <w:lang w:val="en-US"/>
        </w:rPr>
        <w:t>,</w:t>
      </w:r>
    </w:p>
    <w:p w:rsidR="00FF7036" w:rsidRPr="00CD65C0" w:rsidRDefault="00A35C21" w:rsidP="00CD65C0">
      <w:pPr>
        <w:pStyle w:val="Liststycke"/>
        <w:numPr>
          <w:ilvl w:val="0"/>
          <w:numId w:val="6"/>
        </w:numPr>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Supply perspective, encompassing </w:t>
      </w:r>
      <w:r w:rsidR="00FF7036" w:rsidRPr="00CD65C0">
        <w:rPr>
          <w:rFonts w:asciiTheme="minorHAnsi" w:hAnsiTheme="minorHAnsi" w:cstheme="minorHAnsi"/>
          <w:sz w:val="24"/>
          <w:szCs w:val="24"/>
          <w:lang w:val="en-US"/>
        </w:rPr>
        <w:t xml:space="preserve">tourism direct </w:t>
      </w:r>
      <w:r w:rsidR="00FF7036" w:rsidRPr="00A35C21">
        <w:rPr>
          <w:rFonts w:asciiTheme="minorHAnsi" w:hAnsiTheme="minorHAnsi" w:cstheme="minorHAnsi"/>
          <w:i/>
          <w:sz w:val="24"/>
          <w:szCs w:val="24"/>
          <w:lang w:val="en-US"/>
        </w:rPr>
        <w:t>gross value added</w:t>
      </w:r>
      <w:r w:rsidR="00FF7036" w:rsidRPr="00CD65C0">
        <w:rPr>
          <w:rFonts w:asciiTheme="minorHAnsi" w:hAnsiTheme="minorHAnsi" w:cstheme="minorHAnsi"/>
          <w:sz w:val="24"/>
          <w:szCs w:val="24"/>
          <w:lang w:val="en-US"/>
        </w:rPr>
        <w:t xml:space="preserve">, tourism </w:t>
      </w:r>
      <w:r w:rsidR="00FF7036" w:rsidRPr="00A35C21">
        <w:rPr>
          <w:rFonts w:asciiTheme="minorHAnsi" w:hAnsiTheme="minorHAnsi" w:cstheme="minorHAnsi"/>
          <w:i/>
          <w:sz w:val="24"/>
          <w:szCs w:val="24"/>
          <w:lang w:val="en-US"/>
        </w:rPr>
        <w:t>employment</w:t>
      </w:r>
      <w:r w:rsidR="00FF7036" w:rsidRPr="00CD65C0">
        <w:rPr>
          <w:rFonts w:asciiTheme="minorHAnsi" w:hAnsiTheme="minorHAnsi" w:cstheme="minorHAnsi"/>
          <w:sz w:val="24"/>
          <w:szCs w:val="24"/>
          <w:lang w:val="en-US"/>
        </w:rPr>
        <w:t xml:space="preserve"> and </w:t>
      </w:r>
      <w:r w:rsidR="00FF7036" w:rsidRPr="00A35C21">
        <w:rPr>
          <w:rFonts w:asciiTheme="minorHAnsi" w:hAnsiTheme="minorHAnsi" w:cstheme="minorHAnsi"/>
          <w:i/>
          <w:sz w:val="24"/>
          <w:szCs w:val="24"/>
          <w:lang w:val="en-US"/>
        </w:rPr>
        <w:t>gross fixed capital formation</w:t>
      </w:r>
      <w:r w:rsidR="00FF7036" w:rsidRPr="00CD65C0">
        <w:rPr>
          <w:rFonts w:asciiTheme="minorHAnsi" w:hAnsiTheme="minorHAnsi" w:cstheme="minorHAnsi"/>
          <w:sz w:val="24"/>
          <w:szCs w:val="24"/>
          <w:lang w:val="en-US"/>
        </w:rPr>
        <w:t xml:space="preserve"> of tourism industries</w:t>
      </w:r>
      <w:r w:rsidR="00335AA1" w:rsidRPr="00CD65C0">
        <w:rPr>
          <w:rFonts w:asciiTheme="minorHAnsi" w:hAnsiTheme="minorHAnsi" w:cstheme="minorHAnsi"/>
          <w:sz w:val="24"/>
          <w:szCs w:val="24"/>
          <w:lang w:val="en-US"/>
        </w:rPr>
        <w:t>.</w:t>
      </w:r>
    </w:p>
    <w:p w:rsidR="00040536" w:rsidRPr="00CD65C0" w:rsidRDefault="00AF5B3E" w:rsidP="00CD65C0">
      <w:pPr>
        <w:jc w:val="both"/>
        <w:rPr>
          <w:sz w:val="24"/>
          <w:szCs w:val="24"/>
          <w:lang w:val="en-US"/>
        </w:rPr>
      </w:pPr>
      <w:r w:rsidRPr="00AF5B3E">
        <w:rPr>
          <w:sz w:val="24"/>
          <w:szCs w:val="24"/>
          <w:lang w:val="en-GB"/>
        </w:rPr>
        <w:t xml:space="preserve">Within the current SEEA the integration of the economic and the environmental dimensions as concerns specifically the tourism sector is dealt with in the 2012 SEEA applications and extensions. </w:t>
      </w:r>
      <w:r w:rsidR="00040536" w:rsidRPr="00CD65C0">
        <w:rPr>
          <w:sz w:val="24"/>
          <w:szCs w:val="24"/>
          <w:lang w:val="en-US"/>
        </w:rPr>
        <w:t>By integrating TSA and SEEA accounts in a comprehensi</w:t>
      </w:r>
      <w:r w:rsidR="0003183D" w:rsidRPr="00CD65C0">
        <w:rPr>
          <w:sz w:val="24"/>
          <w:szCs w:val="24"/>
          <w:lang w:val="en-US"/>
        </w:rPr>
        <w:t xml:space="preserve">ve framework (TSA-SEEA), </w:t>
      </w:r>
      <w:r w:rsidR="00040536" w:rsidRPr="00CD65C0">
        <w:rPr>
          <w:sz w:val="24"/>
          <w:szCs w:val="24"/>
          <w:lang w:val="en-US"/>
        </w:rPr>
        <w:t xml:space="preserve">environmental flows </w:t>
      </w:r>
      <w:r w:rsidR="0003183D" w:rsidRPr="00CD65C0">
        <w:rPr>
          <w:sz w:val="24"/>
          <w:szCs w:val="24"/>
          <w:lang w:val="en-US"/>
        </w:rPr>
        <w:t xml:space="preserve">and </w:t>
      </w:r>
      <w:r w:rsidR="0036617F">
        <w:rPr>
          <w:sz w:val="24"/>
          <w:szCs w:val="24"/>
          <w:lang w:val="en-US"/>
        </w:rPr>
        <w:t>assets</w:t>
      </w:r>
      <w:r w:rsidR="0036617F" w:rsidRPr="00CD65C0">
        <w:rPr>
          <w:sz w:val="24"/>
          <w:szCs w:val="24"/>
          <w:lang w:val="en-US"/>
        </w:rPr>
        <w:t xml:space="preserve"> </w:t>
      </w:r>
      <w:r w:rsidR="0036617F">
        <w:rPr>
          <w:sz w:val="24"/>
          <w:szCs w:val="24"/>
          <w:lang w:val="en-US"/>
        </w:rPr>
        <w:t>relevant</w:t>
      </w:r>
      <w:r w:rsidR="0036617F" w:rsidRPr="00CD65C0">
        <w:rPr>
          <w:sz w:val="24"/>
          <w:szCs w:val="24"/>
          <w:lang w:val="en-US"/>
        </w:rPr>
        <w:t xml:space="preserve"> </w:t>
      </w:r>
      <w:r w:rsidR="0003183D" w:rsidRPr="00CD65C0">
        <w:rPr>
          <w:sz w:val="24"/>
          <w:szCs w:val="24"/>
          <w:lang w:val="en-US"/>
        </w:rPr>
        <w:t xml:space="preserve">to </w:t>
      </w:r>
      <w:r w:rsidR="00040536" w:rsidRPr="00CD65C0">
        <w:rPr>
          <w:sz w:val="24"/>
          <w:szCs w:val="24"/>
          <w:lang w:val="en-US"/>
        </w:rPr>
        <w:t xml:space="preserve">tourism activities </w:t>
      </w:r>
      <w:r w:rsidR="00962CDD" w:rsidRPr="00CD65C0">
        <w:rPr>
          <w:sz w:val="24"/>
          <w:szCs w:val="24"/>
          <w:lang w:val="en-US"/>
        </w:rPr>
        <w:t>(</w:t>
      </w:r>
      <w:r w:rsidR="00FF7036" w:rsidRPr="00CD65C0">
        <w:rPr>
          <w:sz w:val="24"/>
          <w:szCs w:val="24"/>
          <w:lang w:val="en-US"/>
        </w:rPr>
        <w:t>whose economic contribution i</w:t>
      </w:r>
      <w:r w:rsidR="00040536" w:rsidRPr="00CD65C0">
        <w:rPr>
          <w:sz w:val="24"/>
          <w:szCs w:val="24"/>
          <w:lang w:val="en-US"/>
        </w:rPr>
        <w:t xml:space="preserve">s measured </w:t>
      </w:r>
      <w:r w:rsidR="0003183D" w:rsidRPr="00CD65C0">
        <w:rPr>
          <w:sz w:val="24"/>
          <w:szCs w:val="24"/>
          <w:lang w:val="en-US"/>
        </w:rPr>
        <w:t>by TSA</w:t>
      </w:r>
      <w:r w:rsidR="00962CDD" w:rsidRPr="00CD65C0">
        <w:rPr>
          <w:sz w:val="24"/>
          <w:szCs w:val="24"/>
          <w:lang w:val="en-US"/>
        </w:rPr>
        <w:t>)</w:t>
      </w:r>
      <w:r w:rsidR="0003183D" w:rsidRPr="00CD65C0">
        <w:rPr>
          <w:sz w:val="24"/>
          <w:szCs w:val="24"/>
          <w:lang w:val="en-US"/>
        </w:rPr>
        <w:t xml:space="preserve">, can be identified and measured. </w:t>
      </w:r>
    </w:p>
    <w:p w:rsidR="00D81C75" w:rsidRPr="00CD65C0" w:rsidRDefault="00D81C75" w:rsidP="00CD65C0">
      <w:pPr>
        <w:jc w:val="both"/>
        <w:rPr>
          <w:sz w:val="24"/>
          <w:szCs w:val="24"/>
          <w:lang w:val="en-US"/>
        </w:rPr>
      </w:pPr>
      <w:r w:rsidRPr="00CD65C0">
        <w:rPr>
          <w:sz w:val="24"/>
          <w:szCs w:val="24"/>
          <w:lang w:val="en-US"/>
        </w:rPr>
        <w:t xml:space="preserve">The MST identifies three main types </w:t>
      </w:r>
      <w:r w:rsidR="0031756E">
        <w:rPr>
          <w:sz w:val="24"/>
          <w:szCs w:val="24"/>
          <w:lang w:val="en-US"/>
        </w:rPr>
        <w:t xml:space="preserve">of </w:t>
      </w:r>
      <w:r w:rsidRPr="00CD65C0">
        <w:rPr>
          <w:sz w:val="24"/>
          <w:szCs w:val="24"/>
          <w:lang w:val="en-US"/>
        </w:rPr>
        <w:t>TSA-SEEA integration</w:t>
      </w:r>
      <w:r w:rsidR="00A1177A">
        <w:rPr>
          <w:sz w:val="24"/>
          <w:szCs w:val="24"/>
          <w:lang w:val="en-US"/>
        </w:rPr>
        <w:t xml:space="preserve"> i</w:t>
      </w:r>
      <w:r w:rsidR="00A1177A" w:rsidRPr="00A1177A">
        <w:rPr>
          <w:sz w:val="24"/>
          <w:szCs w:val="24"/>
          <w:lang w:val="en-US"/>
        </w:rPr>
        <w:t>n support of the measurement of sustainable tourism</w:t>
      </w:r>
      <w:r w:rsidR="00A1177A" w:rsidRPr="00CD65C0">
        <w:rPr>
          <w:rStyle w:val="Fotnotsreferens"/>
          <w:sz w:val="24"/>
          <w:szCs w:val="24"/>
          <w:lang w:val="en-US"/>
        </w:rPr>
        <w:t xml:space="preserve"> </w:t>
      </w:r>
      <w:r w:rsidRPr="00CD65C0">
        <w:rPr>
          <w:rStyle w:val="Fotnotsreferens"/>
          <w:sz w:val="24"/>
          <w:szCs w:val="24"/>
          <w:lang w:val="en-US"/>
        </w:rPr>
        <w:footnoteReference w:id="4"/>
      </w:r>
      <w:r w:rsidRPr="00CD65C0">
        <w:rPr>
          <w:sz w:val="24"/>
          <w:szCs w:val="24"/>
          <w:lang w:val="en-US"/>
        </w:rPr>
        <w:t xml:space="preserve">: </w:t>
      </w:r>
    </w:p>
    <w:p w:rsidR="00D81C75" w:rsidRPr="00CD65C0" w:rsidRDefault="00D81C75" w:rsidP="00CD65C0">
      <w:pPr>
        <w:pStyle w:val="Liststycke"/>
        <w:numPr>
          <w:ilvl w:val="0"/>
          <w:numId w:val="7"/>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 xml:space="preserve">connections between SEEA based accounts for individual environmental flows (e.g. water, energy, waste) and tourism activity </w:t>
      </w:r>
    </w:p>
    <w:p w:rsidR="00D81C75" w:rsidRPr="00CD65C0" w:rsidRDefault="00D81C75" w:rsidP="00CD65C0">
      <w:pPr>
        <w:pStyle w:val="Liststycke"/>
        <w:numPr>
          <w:ilvl w:val="0"/>
          <w:numId w:val="7"/>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 xml:space="preserve">accounting for produced and environmental assets relevant to tourism  </w:t>
      </w:r>
    </w:p>
    <w:p w:rsidR="00D81C75" w:rsidRPr="00CD65C0" w:rsidRDefault="00D81C75" w:rsidP="00CD65C0">
      <w:pPr>
        <w:pStyle w:val="Liststycke"/>
        <w:numPr>
          <w:ilvl w:val="0"/>
          <w:numId w:val="7"/>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 xml:space="preserve">spatial accounting for tourism activity applying the logic of SEEA based land and ecosystem accounting. </w:t>
      </w:r>
    </w:p>
    <w:p w:rsidR="00453CB8" w:rsidRDefault="00026C34" w:rsidP="00CD65C0">
      <w:pPr>
        <w:jc w:val="both"/>
        <w:rPr>
          <w:sz w:val="24"/>
          <w:szCs w:val="24"/>
          <w:lang w:val="en-GB"/>
        </w:rPr>
      </w:pPr>
      <w:r w:rsidRPr="00CD65C0">
        <w:rPr>
          <w:sz w:val="24"/>
          <w:szCs w:val="24"/>
          <w:lang w:val="en-US"/>
        </w:rPr>
        <w:t>Th</w:t>
      </w:r>
      <w:r w:rsidR="0046333E" w:rsidRPr="00CD65C0">
        <w:rPr>
          <w:sz w:val="24"/>
          <w:szCs w:val="24"/>
          <w:lang w:val="en-US"/>
        </w:rPr>
        <w:t>is paper deals with th</w:t>
      </w:r>
      <w:r w:rsidRPr="00CD65C0">
        <w:rPr>
          <w:sz w:val="24"/>
          <w:szCs w:val="24"/>
          <w:lang w:val="en-US"/>
        </w:rPr>
        <w:t xml:space="preserve">e </w:t>
      </w:r>
      <w:r w:rsidR="0046333E" w:rsidRPr="00CD65C0">
        <w:rPr>
          <w:sz w:val="24"/>
          <w:szCs w:val="24"/>
          <w:lang w:val="en-US"/>
        </w:rPr>
        <w:t>first</w:t>
      </w:r>
      <w:r w:rsidRPr="00CD65C0">
        <w:rPr>
          <w:sz w:val="24"/>
          <w:szCs w:val="24"/>
          <w:lang w:val="en-US"/>
        </w:rPr>
        <w:t xml:space="preserve"> type, i.e. accounting for environmental flows for tourism activity</w:t>
      </w:r>
      <w:r w:rsidR="0046333E" w:rsidRPr="00CD65C0">
        <w:rPr>
          <w:sz w:val="24"/>
          <w:szCs w:val="24"/>
          <w:lang w:val="en-US"/>
        </w:rPr>
        <w:t xml:space="preserve">. </w:t>
      </w:r>
      <w:r w:rsidR="00F67E0C" w:rsidRPr="00CD65C0">
        <w:rPr>
          <w:sz w:val="24"/>
          <w:szCs w:val="24"/>
          <w:lang w:val="en-US"/>
        </w:rPr>
        <w:t>T</w:t>
      </w:r>
      <w:r w:rsidRPr="00CD65C0">
        <w:rPr>
          <w:sz w:val="24"/>
          <w:szCs w:val="24"/>
          <w:lang w:val="en-US"/>
        </w:rPr>
        <w:t xml:space="preserve">he </w:t>
      </w:r>
      <w:r w:rsidR="00F67E0C" w:rsidRPr="00CD65C0">
        <w:rPr>
          <w:sz w:val="24"/>
          <w:szCs w:val="24"/>
          <w:lang w:val="en-US"/>
        </w:rPr>
        <w:t xml:space="preserve">main reference for this kind of exercise is </w:t>
      </w:r>
      <w:r w:rsidRPr="00CD65C0">
        <w:rPr>
          <w:sz w:val="24"/>
          <w:szCs w:val="24"/>
          <w:lang w:val="en-US"/>
        </w:rPr>
        <w:t xml:space="preserve">the </w:t>
      </w:r>
      <w:r w:rsidRPr="00CD65C0">
        <w:rPr>
          <w:sz w:val="24"/>
          <w:szCs w:val="24"/>
          <w:lang w:val="en-GB"/>
        </w:rPr>
        <w:t>TSA-SEEA Technical Note (</w:t>
      </w:r>
      <w:r w:rsidR="008D0B73">
        <w:rPr>
          <w:sz w:val="24"/>
          <w:szCs w:val="24"/>
          <w:lang w:val="en-GB"/>
        </w:rPr>
        <w:t>UNWTO</w:t>
      </w:r>
      <w:r w:rsidRPr="00CD65C0">
        <w:rPr>
          <w:sz w:val="24"/>
          <w:szCs w:val="24"/>
          <w:lang w:val="en-GB"/>
        </w:rPr>
        <w:t>, 201</w:t>
      </w:r>
      <w:r w:rsidR="008D0B73">
        <w:rPr>
          <w:sz w:val="24"/>
          <w:szCs w:val="24"/>
          <w:lang w:val="en-GB"/>
        </w:rPr>
        <w:t>8</w:t>
      </w:r>
      <w:r w:rsidR="00555A03">
        <w:rPr>
          <w:sz w:val="24"/>
          <w:szCs w:val="24"/>
          <w:lang w:val="en-GB"/>
        </w:rPr>
        <w:t>a</w:t>
      </w:r>
      <w:r w:rsidRPr="00CD65C0">
        <w:rPr>
          <w:sz w:val="24"/>
          <w:szCs w:val="24"/>
          <w:lang w:val="en-GB"/>
        </w:rPr>
        <w:t xml:space="preserve">), prepared upon encouragement by the UN Committee of Experts on Environmental-Economic Accounting (UNCEEA) and by the UNWTO Committee on Statistics and </w:t>
      </w:r>
      <w:r w:rsidR="0036617F">
        <w:rPr>
          <w:sz w:val="24"/>
          <w:szCs w:val="24"/>
          <w:lang w:val="en-GB"/>
        </w:rPr>
        <w:t xml:space="preserve">the </w:t>
      </w:r>
      <w:r w:rsidRPr="00CD65C0">
        <w:rPr>
          <w:sz w:val="24"/>
          <w:szCs w:val="24"/>
          <w:lang w:val="en-GB"/>
        </w:rPr>
        <w:t xml:space="preserve">TSA. </w:t>
      </w:r>
    </w:p>
    <w:p w:rsidR="005234D4" w:rsidRPr="00CD65C0" w:rsidRDefault="00873F65" w:rsidP="00CD65C0">
      <w:pPr>
        <w:jc w:val="both"/>
        <w:rPr>
          <w:sz w:val="24"/>
          <w:szCs w:val="24"/>
          <w:lang w:val="en-GB"/>
        </w:rPr>
      </w:pPr>
      <w:r w:rsidRPr="00CD65C0">
        <w:rPr>
          <w:sz w:val="24"/>
          <w:szCs w:val="24"/>
          <w:lang w:val="en-US"/>
        </w:rPr>
        <w:t xml:space="preserve">Paragraph </w:t>
      </w:r>
      <w:r w:rsidR="00E84701">
        <w:rPr>
          <w:sz w:val="24"/>
          <w:szCs w:val="24"/>
          <w:lang w:val="en-US"/>
        </w:rPr>
        <w:fldChar w:fldCharType="begin"/>
      </w:r>
      <w:r w:rsidR="00E84701">
        <w:rPr>
          <w:sz w:val="24"/>
          <w:szCs w:val="24"/>
          <w:lang w:val="en-US"/>
        </w:rPr>
        <w:instrText xml:space="preserve"> REF _Ref504318518 \r \h </w:instrText>
      </w:r>
      <w:r w:rsidR="00E84701">
        <w:rPr>
          <w:sz w:val="24"/>
          <w:szCs w:val="24"/>
          <w:lang w:val="en-US"/>
        </w:rPr>
      </w:r>
      <w:r w:rsidR="00E84701">
        <w:rPr>
          <w:sz w:val="24"/>
          <w:szCs w:val="24"/>
          <w:lang w:val="en-US"/>
        </w:rPr>
        <w:fldChar w:fldCharType="separate"/>
      </w:r>
      <w:r w:rsidR="00747D9C">
        <w:rPr>
          <w:sz w:val="24"/>
          <w:szCs w:val="24"/>
          <w:lang w:val="en-US"/>
        </w:rPr>
        <w:t>1</w:t>
      </w:r>
      <w:r w:rsidR="00E84701">
        <w:rPr>
          <w:sz w:val="24"/>
          <w:szCs w:val="24"/>
          <w:lang w:val="en-US"/>
        </w:rPr>
        <w:fldChar w:fldCharType="end"/>
      </w:r>
      <w:r w:rsidRPr="00CD65C0">
        <w:rPr>
          <w:sz w:val="24"/>
          <w:szCs w:val="24"/>
          <w:lang w:val="en-US"/>
        </w:rPr>
        <w:t xml:space="preserve"> </w:t>
      </w:r>
      <w:r w:rsidR="005956D1" w:rsidRPr="00CD65C0">
        <w:rPr>
          <w:sz w:val="24"/>
          <w:szCs w:val="24"/>
          <w:lang w:val="en-US"/>
        </w:rPr>
        <w:t xml:space="preserve">introduces </w:t>
      </w:r>
      <w:r w:rsidRPr="00CD65C0">
        <w:rPr>
          <w:sz w:val="24"/>
          <w:szCs w:val="24"/>
          <w:lang w:val="en-US"/>
        </w:rPr>
        <w:t xml:space="preserve">the </w:t>
      </w:r>
      <w:r w:rsidRPr="00CD65C0">
        <w:rPr>
          <w:sz w:val="24"/>
          <w:szCs w:val="24"/>
          <w:lang w:val="en-GB"/>
        </w:rPr>
        <w:t>initial set of relevant accounts and tables and related indicators</w:t>
      </w:r>
      <w:r w:rsidRPr="00CD65C0">
        <w:rPr>
          <w:i/>
          <w:sz w:val="24"/>
          <w:szCs w:val="24"/>
          <w:lang w:val="en-GB"/>
        </w:rPr>
        <w:t xml:space="preserve"> </w:t>
      </w:r>
      <w:r w:rsidRPr="001264EC">
        <w:rPr>
          <w:sz w:val="24"/>
          <w:szCs w:val="24"/>
          <w:lang w:val="en-GB"/>
        </w:rPr>
        <w:t>pr</w:t>
      </w:r>
      <w:r w:rsidR="001264EC" w:rsidRPr="001264EC">
        <w:rPr>
          <w:sz w:val="24"/>
          <w:szCs w:val="24"/>
          <w:lang w:val="en-GB"/>
        </w:rPr>
        <w:t>esented</w:t>
      </w:r>
      <w:r w:rsidRPr="00CD65C0">
        <w:rPr>
          <w:sz w:val="24"/>
          <w:szCs w:val="24"/>
          <w:lang w:val="en-GB"/>
        </w:rPr>
        <w:t xml:space="preserve"> in the</w:t>
      </w:r>
      <w:r w:rsidR="00026C34" w:rsidRPr="00CD65C0">
        <w:rPr>
          <w:sz w:val="24"/>
          <w:szCs w:val="24"/>
          <w:lang w:val="en-GB"/>
        </w:rPr>
        <w:t xml:space="preserve"> Technical Note and</w:t>
      </w:r>
      <w:r w:rsidR="005956D1" w:rsidRPr="00CD65C0">
        <w:rPr>
          <w:sz w:val="24"/>
          <w:szCs w:val="24"/>
          <w:lang w:val="en-GB"/>
        </w:rPr>
        <w:t xml:space="preserve"> </w:t>
      </w:r>
      <w:r w:rsidR="002135E7" w:rsidRPr="00CD65C0">
        <w:rPr>
          <w:sz w:val="24"/>
          <w:szCs w:val="24"/>
          <w:lang w:val="en-GB"/>
        </w:rPr>
        <w:t xml:space="preserve">some </w:t>
      </w:r>
      <w:r w:rsidR="005956D1" w:rsidRPr="00CD65C0">
        <w:rPr>
          <w:sz w:val="24"/>
          <w:szCs w:val="24"/>
          <w:lang w:val="en-GB"/>
        </w:rPr>
        <w:t>guidelines</w:t>
      </w:r>
      <w:r w:rsidR="00026C34" w:rsidRPr="00CD65C0">
        <w:rPr>
          <w:sz w:val="24"/>
          <w:szCs w:val="24"/>
          <w:lang w:val="en-GB"/>
        </w:rPr>
        <w:t xml:space="preserve"> aiming at supporting the implementation of the integrated accounts.</w:t>
      </w:r>
    </w:p>
    <w:p w:rsidR="00046980" w:rsidRPr="00CD65C0" w:rsidRDefault="005234D4" w:rsidP="00CD65C0">
      <w:pPr>
        <w:jc w:val="both"/>
        <w:rPr>
          <w:sz w:val="24"/>
          <w:szCs w:val="24"/>
          <w:lang w:val="en-GB"/>
        </w:rPr>
      </w:pPr>
      <w:r w:rsidRPr="00CD65C0">
        <w:rPr>
          <w:sz w:val="24"/>
          <w:szCs w:val="24"/>
          <w:lang w:val="en-GB"/>
        </w:rPr>
        <w:t xml:space="preserve">Beyond the development of a reference statistical framework, one </w:t>
      </w:r>
      <w:r w:rsidR="00FB666C">
        <w:rPr>
          <w:sz w:val="24"/>
          <w:szCs w:val="24"/>
          <w:lang w:val="en-GB"/>
        </w:rPr>
        <w:t xml:space="preserve">additional </w:t>
      </w:r>
      <w:r w:rsidRPr="00CD65C0">
        <w:rPr>
          <w:sz w:val="24"/>
          <w:szCs w:val="24"/>
          <w:lang w:val="en-GB"/>
        </w:rPr>
        <w:t>objective of the MST project is to stimulate pilot implementation at country and sub-national levels. Italy is one of several countries</w:t>
      </w:r>
      <w:r w:rsidRPr="00CD65C0">
        <w:rPr>
          <w:rStyle w:val="Fotnotsreferens"/>
          <w:sz w:val="24"/>
          <w:szCs w:val="24"/>
          <w:lang w:val="en-GB"/>
        </w:rPr>
        <w:footnoteReference w:id="5"/>
      </w:r>
      <w:r w:rsidRPr="00CD65C0">
        <w:rPr>
          <w:sz w:val="24"/>
          <w:szCs w:val="24"/>
          <w:lang w:val="en-GB"/>
        </w:rPr>
        <w:t xml:space="preserve"> that </w:t>
      </w:r>
      <w:r w:rsidR="0046333E" w:rsidRPr="00CD65C0">
        <w:rPr>
          <w:sz w:val="24"/>
          <w:szCs w:val="24"/>
          <w:lang w:val="en-GB"/>
        </w:rPr>
        <w:t>produced</w:t>
      </w:r>
      <w:r w:rsidR="00025153" w:rsidRPr="00CD65C0">
        <w:rPr>
          <w:sz w:val="24"/>
          <w:szCs w:val="24"/>
          <w:lang w:val="en-GB"/>
        </w:rPr>
        <w:t xml:space="preserve"> a pilot study. Paragraph </w:t>
      </w:r>
      <w:r w:rsidR="00E84701">
        <w:rPr>
          <w:sz w:val="24"/>
          <w:szCs w:val="24"/>
          <w:lang w:val="en-GB"/>
        </w:rPr>
        <w:fldChar w:fldCharType="begin"/>
      </w:r>
      <w:r w:rsidR="00E84701">
        <w:rPr>
          <w:sz w:val="24"/>
          <w:szCs w:val="24"/>
          <w:lang w:val="en-GB"/>
        </w:rPr>
        <w:instrText xml:space="preserve"> REF _Ref521661824 \r \h </w:instrText>
      </w:r>
      <w:r w:rsidR="00E84701">
        <w:rPr>
          <w:sz w:val="24"/>
          <w:szCs w:val="24"/>
          <w:lang w:val="en-GB"/>
        </w:rPr>
      </w:r>
      <w:r w:rsidR="00E84701">
        <w:rPr>
          <w:sz w:val="24"/>
          <w:szCs w:val="24"/>
          <w:lang w:val="en-GB"/>
        </w:rPr>
        <w:fldChar w:fldCharType="separate"/>
      </w:r>
      <w:r w:rsidR="00747D9C">
        <w:rPr>
          <w:sz w:val="24"/>
          <w:szCs w:val="24"/>
          <w:lang w:val="en-GB"/>
        </w:rPr>
        <w:t>2</w:t>
      </w:r>
      <w:r w:rsidR="00E84701">
        <w:rPr>
          <w:sz w:val="24"/>
          <w:szCs w:val="24"/>
          <w:lang w:val="en-GB"/>
        </w:rPr>
        <w:fldChar w:fldCharType="end"/>
      </w:r>
      <w:r w:rsidR="00025153" w:rsidRPr="00CD65C0">
        <w:rPr>
          <w:sz w:val="24"/>
          <w:szCs w:val="24"/>
          <w:lang w:val="en-GB"/>
        </w:rPr>
        <w:t xml:space="preserve"> presents the scope of the Italian TSA-SEEA pilot study and </w:t>
      </w:r>
      <w:r w:rsidR="00900C85" w:rsidRPr="00CD65C0">
        <w:rPr>
          <w:sz w:val="24"/>
          <w:szCs w:val="24"/>
          <w:lang w:val="en-GB"/>
        </w:rPr>
        <w:t>its</w:t>
      </w:r>
      <w:r w:rsidR="00025153" w:rsidRPr="00CD65C0">
        <w:rPr>
          <w:sz w:val="24"/>
          <w:szCs w:val="24"/>
          <w:lang w:val="en-GB"/>
        </w:rPr>
        <w:t xml:space="preserve"> methodology. The </w:t>
      </w:r>
      <w:r w:rsidR="00900C85" w:rsidRPr="00CD65C0">
        <w:rPr>
          <w:sz w:val="24"/>
          <w:szCs w:val="24"/>
          <w:lang w:val="en-GB"/>
        </w:rPr>
        <w:t xml:space="preserve">main </w:t>
      </w:r>
      <w:r w:rsidR="00025153" w:rsidRPr="00CD65C0">
        <w:rPr>
          <w:sz w:val="24"/>
          <w:szCs w:val="24"/>
          <w:lang w:val="en-GB"/>
        </w:rPr>
        <w:t xml:space="preserve">aim </w:t>
      </w:r>
      <w:r w:rsidR="0046333E" w:rsidRPr="00CD65C0">
        <w:rPr>
          <w:sz w:val="24"/>
          <w:szCs w:val="24"/>
          <w:lang w:val="en-GB"/>
        </w:rPr>
        <w:t xml:space="preserve">here </w:t>
      </w:r>
      <w:r w:rsidR="00025153" w:rsidRPr="00CD65C0">
        <w:rPr>
          <w:sz w:val="24"/>
          <w:szCs w:val="24"/>
          <w:lang w:val="en-GB"/>
        </w:rPr>
        <w:t>is to highlight the extent to which the Tech</w:t>
      </w:r>
      <w:r w:rsidR="00CB6441" w:rsidRPr="00CD65C0">
        <w:rPr>
          <w:sz w:val="24"/>
          <w:szCs w:val="24"/>
          <w:lang w:val="en-GB"/>
        </w:rPr>
        <w:t>n</w:t>
      </w:r>
      <w:r w:rsidR="00025153" w:rsidRPr="00CD65C0">
        <w:rPr>
          <w:sz w:val="24"/>
          <w:szCs w:val="24"/>
          <w:lang w:val="en-GB"/>
        </w:rPr>
        <w:t xml:space="preserve">ical Note </w:t>
      </w:r>
      <w:r w:rsidR="00CB6441" w:rsidRPr="00CD65C0">
        <w:rPr>
          <w:sz w:val="24"/>
          <w:szCs w:val="24"/>
          <w:lang w:val="en-GB"/>
        </w:rPr>
        <w:t xml:space="preserve">guidelines were </w:t>
      </w:r>
      <w:r w:rsidR="00A44AA8" w:rsidRPr="00CD65C0">
        <w:rPr>
          <w:sz w:val="24"/>
          <w:szCs w:val="24"/>
          <w:lang w:val="en-GB"/>
        </w:rPr>
        <w:t xml:space="preserve">applied </w:t>
      </w:r>
      <w:r w:rsidR="00FB666C">
        <w:rPr>
          <w:sz w:val="24"/>
          <w:szCs w:val="24"/>
          <w:lang w:val="en-GB"/>
        </w:rPr>
        <w:t xml:space="preserve">in the pilot study </w:t>
      </w:r>
      <w:r w:rsidR="00A44AA8" w:rsidRPr="00CD65C0">
        <w:rPr>
          <w:sz w:val="24"/>
          <w:szCs w:val="24"/>
          <w:lang w:val="en-GB"/>
        </w:rPr>
        <w:t xml:space="preserve">as well as other methodological findings that can be of interest for other countries engaging in studying the interaction between economic and environmental aspects of tourism activities by means of a TSA-SEEA framework. </w:t>
      </w:r>
    </w:p>
    <w:p w:rsidR="00A44AA8" w:rsidRDefault="00FF7469" w:rsidP="00FF7469">
      <w:pPr>
        <w:jc w:val="both"/>
        <w:rPr>
          <w:sz w:val="24"/>
          <w:szCs w:val="24"/>
          <w:lang w:val="en-GB"/>
        </w:rPr>
      </w:pPr>
      <w:r w:rsidRPr="006D0459">
        <w:rPr>
          <w:sz w:val="24"/>
          <w:szCs w:val="24"/>
          <w:lang w:val="en-GB"/>
        </w:rPr>
        <w:t xml:space="preserve">The Italian pilot study adopts a </w:t>
      </w:r>
      <w:r w:rsidR="002D4099" w:rsidRPr="006D0459">
        <w:rPr>
          <w:sz w:val="24"/>
          <w:szCs w:val="24"/>
          <w:lang w:val="en-GB"/>
        </w:rPr>
        <w:t>production</w:t>
      </w:r>
      <w:r w:rsidRPr="006D0459">
        <w:rPr>
          <w:sz w:val="24"/>
          <w:szCs w:val="24"/>
          <w:lang w:val="en-GB"/>
        </w:rPr>
        <w:t xml:space="preserve"> perspective in producing initial estimates of environmental flows related to tourism, and this is a common feature of implementation studies to date. </w:t>
      </w:r>
      <w:r w:rsidR="00555A03" w:rsidRPr="006D0459">
        <w:rPr>
          <w:sz w:val="24"/>
          <w:szCs w:val="24"/>
          <w:lang w:val="en-GB"/>
        </w:rPr>
        <w:t xml:space="preserve">Paragraph </w:t>
      </w:r>
      <w:r w:rsidR="00E84701" w:rsidRPr="006D0459">
        <w:rPr>
          <w:sz w:val="24"/>
          <w:szCs w:val="24"/>
          <w:lang w:val="en-GB"/>
        </w:rPr>
        <w:fldChar w:fldCharType="begin"/>
      </w:r>
      <w:r w:rsidR="00E84701" w:rsidRPr="006D0459">
        <w:rPr>
          <w:sz w:val="24"/>
          <w:szCs w:val="24"/>
          <w:lang w:val="en-GB"/>
        </w:rPr>
        <w:instrText xml:space="preserve"> REF _Ref524623212 \r \h </w:instrText>
      </w:r>
      <w:r w:rsidR="006D0459">
        <w:rPr>
          <w:sz w:val="24"/>
          <w:szCs w:val="24"/>
          <w:lang w:val="en-GB"/>
        </w:rPr>
        <w:instrText xml:space="preserve"> \* MERGEFORMAT </w:instrText>
      </w:r>
      <w:r w:rsidR="00E84701" w:rsidRPr="006D0459">
        <w:rPr>
          <w:sz w:val="24"/>
          <w:szCs w:val="24"/>
          <w:lang w:val="en-GB"/>
        </w:rPr>
      </w:r>
      <w:r w:rsidR="00E84701" w:rsidRPr="006D0459">
        <w:rPr>
          <w:sz w:val="24"/>
          <w:szCs w:val="24"/>
          <w:lang w:val="en-GB"/>
        </w:rPr>
        <w:fldChar w:fldCharType="separate"/>
      </w:r>
      <w:r w:rsidR="00747D9C" w:rsidRPr="006D0459">
        <w:rPr>
          <w:sz w:val="24"/>
          <w:szCs w:val="24"/>
          <w:lang w:val="en-GB"/>
        </w:rPr>
        <w:t>3</w:t>
      </w:r>
      <w:r w:rsidR="00E84701" w:rsidRPr="006D0459">
        <w:rPr>
          <w:sz w:val="24"/>
          <w:szCs w:val="24"/>
          <w:lang w:val="en-GB"/>
        </w:rPr>
        <w:fldChar w:fldCharType="end"/>
      </w:r>
      <w:r w:rsidR="00555A03" w:rsidRPr="006D0459">
        <w:rPr>
          <w:sz w:val="24"/>
          <w:szCs w:val="24"/>
          <w:lang w:val="en-GB"/>
        </w:rPr>
        <w:t xml:space="preserve"> </w:t>
      </w:r>
      <w:r w:rsidR="00294AF1" w:rsidRPr="006D0459">
        <w:rPr>
          <w:sz w:val="24"/>
          <w:szCs w:val="24"/>
          <w:lang w:val="en-GB"/>
        </w:rPr>
        <w:t xml:space="preserve">focuses on </w:t>
      </w:r>
      <w:r w:rsidR="00555A03" w:rsidRPr="006D0459">
        <w:rPr>
          <w:sz w:val="24"/>
          <w:szCs w:val="24"/>
          <w:lang w:val="en-GB"/>
        </w:rPr>
        <w:t>the TSA-SEEA integration from a demand perspective in order to provide a</w:t>
      </w:r>
      <w:r w:rsidRPr="006D0459">
        <w:rPr>
          <w:sz w:val="24"/>
          <w:szCs w:val="24"/>
          <w:lang w:val="en-GB"/>
        </w:rPr>
        <w:t xml:space="preserve"> conceptual </w:t>
      </w:r>
      <w:r w:rsidR="00555A03" w:rsidRPr="006D0459">
        <w:rPr>
          <w:sz w:val="24"/>
          <w:szCs w:val="24"/>
          <w:lang w:val="en-GB"/>
        </w:rPr>
        <w:t>basis for estimating tourism related environmental flows also from this standpoint</w:t>
      </w:r>
      <w:r w:rsidRPr="006D0459">
        <w:rPr>
          <w:sz w:val="24"/>
          <w:szCs w:val="24"/>
          <w:lang w:val="en-GB"/>
        </w:rPr>
        <w:t>.</w:t>
      </w:r>
    </w:p>
    <w:p w:rsidR="00F934F1" w:rsidRPr="00AF5B3E" w:rsidRDefault="00F934F1" w:rsidP="00F934F1">
      <w:pPr>
        <w:jc w:val="both"/>
        <w:rPr>
          <w:sz w:val="24"/>
          <w:szCs w:val="24"/>
          <w:lang w:val="en-GB"/>
        </w:rPr>
      </w:pPr>
      <w:r w:rsidRPr="00AF5B3E">
        <w:rPr>
          <w:sz w:val="24"/>
          <w:szCs w:val="24"/>
          <w:lang w:val="en-GB"/>
        </w:rPr>
        <w:t>In the context of the SEEA revision, the output of the collaborative UNWTO and UNSD project will allow to develop key aspects of integrating tourism and environmental information beyond those already covered</w:t>
      </w:r>
      <w:r>
        <w:rPr>
          <w:sz w:val="24"/>
          <w:szCs w:val="24"/>
          <w:lang w:val="en-GB"/>
        </w:rPr>
        <w:t xml:space="preserve"> in the current SEEA</w:t>
      </w:r>
      <w:r w:rsidRPr="00AF5B3E">
        <w:rPr>
          <w:sz w:val="24"/>
          <w:szCs w:val="24"/>
          <w:lang w:val="en-GB"/>
        </w:rPr>
        <w:t>. This development is one of the subjects selected for long term development.</w:t>
      </w:r>
    </w:p>
    <w:p w:rsidR="00F934F1" w:rsidRPr="00CD65C0" w:rsidRDefault="00F934F1" w:rsidP="00FF7469">
      <w:pPr>
        <w:jc w:val="both"/>
        <w:rPr>
          <w:sz w:val="24"/>
          <w:szCs w:val="24"/>
          <w:lang w:val="en-GB"/>
        </w:rPr>
      </w:pPr>
    </w:p>
    <w:p w:rsidR="00E96C54" w:rsidRPr="001305EB" w:rsidRDefault="00E96C54" w:rsidP="00E96C54">
      <w:pPr>
        <w:pStyle w:val="Rubrik2"/>
        <w:numPr>
          <w:ilvl w:val="0"/>
          <w:numId w:val="2"/>
        </w:numPr>
        <w:spacing w:line="276" w:lineRule="auto"/>
        <w:rPr>
          <w:lang w:val="en-US"/>
        </w:rPr>
      </w:pPr>
      <w:bookmarkStart w:id="4" w:name="_Ref504318518"/>
      <w:bookmarkStart w:id="5" w:name="_Ref504037116"/>
      <w:bookmarkStart w:id="6" w:name="_Toc504325680"/>
      <w:bookmarkStart w:id="7" w:name="_Toc524965942"/>
      <w:r w:rsidRPr="001305EB">
        <w:rPr>
          <w:lang w:val="en-US"/>
        </w:rPr>
        <w:t xml:space="preserve">The </w:t>
      </w:r>
      <w:r w:rsidR="000857FB">
        <w:rPr>
          <w:lang w:val="en-US"/>
        </w:rPr>
        <w:t xml:space="preserve">UNWTO </w:t>
      </w:r>
      <w:r>
        <w:rPr>
          <w:lang w:val="en-US"/>
        </w:rPr>
        <w:t xml:space="preserve">international reference </w:t>
      </w:r>
      <w:r w:rsidRPr="001305EB">
        <w:rPr>
          <w:lang w:val="en-US"/>
        </w:rPr>
        <w:t>framework</w:t>
      </w:r>
      <w:r>
        <w:rPr>
          <w:lang w:val="en-US"/>
        </w:rPr>
        <w:t xml:space="preserve"> for measuring sustainable tourism</w:t>
      </w:r>
      <w:r w:rsidRPr="001305EB">
        <w:rPr>
          <w:lang w:val="en-US"/>
        </w:rPr>
        <w:t>: linking TSA and SEEA</w:t>
      </w:r>
      <w:bookmarkEnd w:id="4"/>
      <w:bookmarkEnd w:id="5"/>
      <w:bookmarkEnd w:id="6"/>
      <w:bookmarkEnd w:id="7"/>
    </w:p>
    <w:p w:rsidR="00E84701" w:rsidRDefault="00E84701" w:rsidP="00E96C54">
      <w:pPr>
        <w:jc w:val="both"/>
        <w:rPr>
          <w:rFonts w:cstheme="minorHAnsi"/>
          <w:sz w:val="24"/>
          <w:szCs w:val="24"/>
          <w:lang w:val="en-US"/>
        </w:rPr>
      </w:pPr>
      <w:r>
        <w:rPr>
          <w:rFonts w:cstheme="minorHAnsi"/>
          <w:sz w:val="24"/>
          <w:szCs w:val="24"/>
          <w:lang w:val="en-US"/>
        </w:rPr>
        <w:t>D</w:t>
      </w:r>
      <w:r w:rsidRPr="00E84701">
        <w:rPr>
          <w:rFonts w:cstheme="minorHAnsi"/>
          <w:sz w:val="24"/>
          <w:szCs w:val="24"/>
          <w:lang w:val="en-US"/>
        </w:rPr>
        <w:t xml:space="preserve">eveloping accounting frameworks for sustainable tourism </w:t>
      </w:r>
      <w:r w:rsidR="00D44C09">
        <w:rPr>
          <w:rFonts w:cstheme="minorHAnsi"/>
          <w:sz w:val="24"/>
          <w:szCs w:val="24"/>
          <w:lang w:val="en-US"/>
        </w:rPr>
        <w:t xml:space="preserve">by integrating </w:t>
      </w:r>
      <w:r w:rsidR="00D44C09" w:rsidRPr="00E84701">
        <w:rPr>
          <w:rFonts w:cstheme="minorHAnsi"/>
          <w:sz w:val="24"/>
          <w:szCs w:val="24"/>
          <w:lang w:val="en-US"/>
        </w:rPr>
        <w:t>the Tourism Satellite Accounts (TSA) and the System of Environmental-Economic Accounting (SEEA)</w:t>
      </w:r>
      <w:r w:rsidR="00D44C09">
        <w:rPr>
          <w:rFonts w:cstheme="minorHAnsi"/>
          <w:sz w:val="24"/>
          <w:szCs w:val="24"/>
          <w:lang w:val="en-US"/>
        </w:rPr>
        <w:t xml:space="preserve"> </w:t>
      </w:r>
      <w:r w:rsidRPr="00E84701">
        <w:rPr>
          <w:rFonts w:cstheme="minorHAnsi"/>
          <w:sz w:val="24"/>
          <w:szCs w:val="24"/>
          <w:lang w:val="en-US"/>
        </w:rPr>
        <w:t xml:space="preserve">has been one of the main objectives of the MST project, </w:t>
      </w:r>
      <w:r>
        <w:rPr>
          <w:rFonts w:cstheme="minorHAnsi"/>
          <w:sz w:val="24"/>
          <w:szCs w:val="24"/>
          <w:lang w:val="en-US"/>
        </w:rPr>
        <w:t xml:space="preserve">since its start in 2015. </w:t>
      </w:r>
    </w:p>
    <w:p w:rsidR="00E84701" w:rsidRDefault="00E84701" w:rsidP="00E96C54">
      <w:pPr>
        <w:jc w:val="both"/>
        <w:rPr>
          <w:i/>
          <w:sz w:val="24"/>
          <w:szCs w:val="24"/>
          <w:lang w:val="en-GB"/>
        </w:rPr>
      </w:pPr>
      <w:r>
        <w:rPr>
          <w:rFonts w:cstheme="minorHAnsi"/>
          <w:sz w:val="24"/>
          <w:szCs w:val="24"/>
          <w:lang w:val="en-US"/>
        </w:rPr>
        <w:t xml:space="preserve">This paragraph focuses on the </w:t>
      </w:r>
      <w:r w:rsidRPr="00CD65C0">
        <w:rPr>
          <w:sz w:val="24"/>
          <w:szCs w:val="24"/>
          <w:lang w:val="en-GB"/>
        </w:rPr>
        <w:t>initial set of relevant accounts and tables and related indicators</w:t>
      </w:r>
      <w:r>
        <w:rPr>
          <w:sz w:val="24"/>
          <w:szCs w:val="24"/>
          <w:lang w:val="en-GB"/>
        </w:rPr>
        <w:t xml:space="preserve"> developed </w:t>
      </w:r>
      <w:r w:rsidRPr="00CD65C0">
        <w:rPr>
          <w:sz w:val="24"/>
          <w:szCs w:val="24"/>
          <w:lang w:val="en-GB"/>
        </w:rPr>
        <w:t>in the TSA-SEEA technical note (</w:t>
      </w:r>
      <w:r>
        <w:rPr>
          <w:sz w:val="24"/>
          <w:szCs w:val="24"/>
          <w:lang w:val="en-GB"/>
        </w:rPr>
        <w:t>UNWTO, 2018a</w:t>
      </w:r>
      <w:r w:rsidRPr="00CD65C0">
        <w:rPr>
          <w:sz w:val="24"/>
          <w:szCs w:val="24"/>
          <w:lang w:val="en-GB"/>
        </w:rPr>
        <w:t>)</w:t>
      </w:r>
      <w:r>
        <w:rPr>
          <w:sz w:val="24"/>
          <w:szCs w:val="24"/>
          <w:lang w:val="en-GB"/>
        </w:rPr>
        <w:t>,</w:t>
      </w:r>
      <w:r w:rsidRPr="00CD65C0">
        <w:rPr>
          <w:sz w:val="24"/>
          <w:szCs w:val="24"/>
          <w:lang w:val="en-GB"/>
        </w:rPr>
        <w:t xml:space="preserve"> prepared upon encouragement by the UN Committee of Experts on Environmental-Economic Accounting (UNCEEA) and by the UNWTO Committee on Tourism Statistics and TSA</w:t>
      </w:r>
      <w:r w:rsidRPr="00CD65C0">
        <w:rPr>
          <w:i/>
          <w:sz w:val="24"/>
          <w:szCs w:val="24"/>
          <w:lang w:val="en-GB"/>
        </w:rPr>
        <w:t xml:space="preserve">. </w:t>
      </w:r>
    </w:p>
    <w:p w:rsidR="00B6519A" w:rsidRDefault="00D44C09" w:rsidP="00D44C09">
      <w:pPr>
        <w:jc w:val="both"/>
        <w:rPr>
          <w:rFonts w:cstheme="minorHAnsi"/>
          <w:sz w:val="24"/>
          <w:szCs w:val="24"/>
          <w:lang w:val="en-US"/>
        </w:rPr>
      </w:pPr>
      <w:bookmarkStart w:id="8" w:name="_Ref504127000"/>
      <w:r w:rsidRPr="00BC3205">
        <w:rPr>
          <w:rFonts w:cstheme="minorHAnsi"/>
          <w:sz w:val="24"/>
          <w:szCs w:val="24"/>
          <w:lang w:val="en-US"/>
        </w:rPr>
        <w:t>The</w:t>
      </w:r>
      <w:r w:rsidR="00E96C54" w:rsidRPr="00BC3205">
        <w:rPr>
          <w:rFonts w:cstheme="minorHAnsi"/>
          <w:sz w:val="24"/>
          <w:szCs w:val="24"/>
          <w:lang w:val="en-US"/>
        </w:rPr>
        <w:t xml:space="preserve"> initial set of integrated core accounts</w:t>
      </w:r>
      <w:r w:rsidR="00E96C54" w:rsidRPr="00D44C09">
        <w:rPr>
          <w:rFonts w:cstheme="minorHAnsi"/>
          <w:sz w:val="24"/>
          <w:szCs w:val="24"/>
          <w:lang w:val="en-US"/>
        </w:rPr>
        <w:t xml:space="preserve"> </w:t>
      </w:r>
      <w:r>
        <w:rPr>
          <w:rFonts w:cstheme="minorHAnsi"/>
          <w:sz w:val="24"/>
          <w:szCs w:val="24"/>
          <w:lang w:val="en-US"/>
        </w:rPr>
        <w:t xml:space="preserve">presented in the Technical Note covers </w:t>
      </w:r>
      <w:r w:rsidRPr="00D44C09">
        <w:rPr>
          <w:rFonts w:cstheme="minorHAnsi"/>
          <w:sz w:val="24"/>
          <w:szCs w:val="24"/>
          <w:lang w:val="en-US"/>
        </w:rPr>
        <w:t>four</w:t>
      </w:r>
      <w:r w:rsidR="00071588">
        <w:rPr>
          <w:rFonts w:cstheme="minorHAnsi"/>
          <w:sz w:val="24"/>
          <w:szCs w:val="24"/>
          <w:lang w:val="en-US"/>
        </w:rPr>
        <w:t xml:space="preserve"> physical supply and use tables, specifically: </w:t>
      </w:r>
      <w:r w:rsidR="00294AF1" w:rsidRPr="00294AF1">
        <w:rPr>
          <w:rFonts w:cstheme="minorHAnsi"/>
          <w:sz w:val="24"/>
          <w:szCs w:val="24"/>
          <w:lang w:val="en-US"/>
        </w:rPr>
        <w:t>Tourism industries water flow account</w:t>
      </w:r>
      <w:r w:rsidR="00294AF1">
        <w:rPr>
          <w:rFonts w:cstheme="minorHAnsi"/>
          <w:sz w:val="24"/>
          <w:szCs w:val="24"/>
          <w:lang w:val="en-US"/>
        </w:rPr>
        <w:t xml:space="preserve"> </w:t>
      </w:r>
      <w:r w:rsidR="00294AF1" w:rsidRPr="00294AF1">
        <w:rPr>
          <w:rFonts w:cstheme="minorHAnsi"/>
          <w:sz w:val="24"/>
          <w:szCs w:val="24"/>
          <w:lang w:val="en-US"/>
        </w:rPr>
        <w:t>(</w:t>
      </w:r>
      <w:r w:rsidR="00294AF1">
        <w:rPr>
          <w:rFonts w:cstheme="minorHAnsi"/>
          <w:sz w:val="24"/>
          <w:szCs w:val="24"/>
          <w:lang w:val="en-US"/>
        </w:rPr>
        <w:t xml:space="preserve">in </w:t>
      </w:r>
      <w:r w:rsidR="00294AF1" w:rsidRPr="00294AF1">
        <w:rPr>
          <w:rFonts w:cstheme="minorHAnsi"/>
          <w:sz w:val="24"/>
          <w:szCs w:val="24"/>
          <w:lang w:val="en-US"/>
        </w:rPr>
        <w:t>cubic metres)</w:t>
      </w:r>
      <w:r w:rsidR="00294AF1">
        <w:rPr>
          <w:rFonts w:cstheme="minorHAnsi"/>
          <w:sz w:val="24"/>
          <w:szCs w:val="24"/>
          <w:lang w:val="en-US"/>
        </w:rPr>
        <w:t xml:space="preserve">, </w:t>
      </w:r>
      <w:r w:rsidR="00294AF1" w:rsidRPr="00294AF1">
        <w:rPr>
          <w:rFonts w:cstheme="minorHAnsi"/>
          <w:sz w:val="24"/>
          <w:szCs w:val="24"/>
          <w:lang w:val="en-US"/>
        </w:rPr>
        <w:t>Tourism industries energy flow account</w:t>
      </w:r>
      <w:r w:rsidR="00294AF1">
        <w:rPr>
          <w:rFonts w:cstheme="minorHAnsi"/>
          <w:sz w:val="24"/>
          <w:szCs w:val="24"/>
          <w:lang w:val="en-US"/>
        </w:rPr>
        <w:t xml:space="preserve"> </w:t>
      </w:r>
      <w:r w:rsidR="00294AF1" w:rsidRPr="00294AF1">
        <w:rPr>
          <w:rFonts w:cstheme="minorHAnsi"/>
          <w:sz w:val="24"/>
          <w:szCs w:val="24"/>
          <w:lang w:val="en-US"/>
        </w:rPr>
        <w:t>(</w:t>
      </w:r>
      <w:r w:rsidR="00294AF1">
        <w:rPr>
          <w:rFonts w:cstheme="minorHAnsi"/>
          <w:sz w:val="24"/>
          <w:szCs w:val="24"/>
          <w:lang w:val="en-US"/>
        </w:rPr>
        <w:t xml:space="preserve">in </w:t>
      </w:r>
      <w:r w:rsidR="00294AF1" w:rsidRPr="00294AF1">
        <w:rPr>
          <w:rFonts w:cstheme="minorHAnsi"/>
          <w:sz w:val="24"/>
          <w:szCs w:val="24"/>
          <w:lang w:val="en-US"/>
        </w:rPr>
        <w:t>joules</w:t>
      </w:r>
      <w:r w:rsidR="00294AF1">
        <w:rPr>
          <w:rFonts w:cstheme="minorHAnsi"/>
          <w:sz w:val="24"/>
          <w:szCs w:val="24"/>
          <w:lang w:val="en-US"/>
        </w:rPr>
        <w:t xml:space="preserve">), </w:t>
      </w:r>
      <w:r w:rsidR="00294AF1" w:rsidRPr="00294AF1">
        <w:rPr>
          <w:rFonts w:cstheme="minorHAnsi"/>
          <w:sz w:val="24"/>
          <w:szCs w:val="24"/>
          <w:lang w:val="en-US"/>
        </w:rPr>
        <w:t>Tourism industries GHG emissions account</w:t>
      </w:r>
      <w:r w:rsidR="004F294C">
        <w:rPr>
          <w:rFonts w:cstheme="minorHAnsi"/>
          <w:sz w:val="24"/>
          <w:szCs w:val="24"/>
          <w:lang w:val="en-US"/>
        </w:rPr>
        <w:t xml:space="preserve"> </w:t>
      </w:r>
      <w:r w:rsidR="00294AF1" w:rsidRPr="00294AF1">
        <w:rPr>
          <w:rFonts w:cstheme="minorHAnsi"/>
          <w:sz w:val="24"/>
          <w:szCs w:val="24"/>
          <w:lang w:val="en-US"/>
        </w:rPr>
        <w:t>(</w:t>
      </w:r>
      <w:r w:rsidR="004F294C">
        <w:rPr>
          <w:rFonts w:cstheme="minorHAnsi"/>
          <w:sz w:val="24"/>
          <w:szCs w:val="24"/>
          <w:lang w:val="en-US"/>
        </w:rPr>
        <w:t xml:space="preserve">in </w:t>
      </w:r>
      <w:r w:rsidR="00294AF1" w:rsidRPr="00294AF1">
        <w:rPr>
          <w:rFonts w:cstheme="minorHAnsi"/>
          <w:sz w:val="24"/>
          <w:szCs w:val="24"/>
          <w:lang w:val="en-US"/>
        </w:rPr>
        <w:t>tonnes</w:t>
      </w:r>
      <w:r w:rsidR="00294AF1">
        <w:rPr>
          <w:rFonts w:cstheme="minorHAnsi"/>
          <w:sz w:val="24"/>
          <w:szCs w:val="24"/>
          <w:lang w:val="en-US"/>
        </w:rPr>
        <w:t xml:space="preserve">), </w:t>
      </w:r>
      <w:r w:rsidR="00294AF1" w:rsidRPr="00294AF1">
        <w:rPr>
          <w:rFonts w:cstheme="minorHAnsi"/>
          <w:sz w:val="24"/>
          <w:szCs w:val="24"/>
          <w:lang w:val="en-US"/>
        </w:rPr>
        <w:t>Tourism industries solid waste account (</w:t>
      </w:r>
      <w:r w:rsidR="004F294C">
        <w:rPr>
          <w:rFonts w:cstheme="minorHAnsi"/>
          <w:sz w:val="24"/>
          <w:szCs w:val="24"/>
          <w:lang w:val="en-US"/>
        </w:rPr>
        <w:t xml:space="preserve">in </w:t>
      </w:r>
      <w:r w:rsidR="00294AF1" w:rsidRPr="00294AF1">
        <w:rPr>
          <w:rFonts w:cstheme="minorHAnsi"/>
          <w:sz w:val="24"/>
          <w:szCs w:val="24"/>
          <w:lang w:val="en-US"/>
        </w:rPr>
        <w:t>tonnes)</w:t>
      </w:r>
      <w:r w:rsidR="004F294C" w:rsidRPr="004F294C">
        <w:rPr>
          <w:rStyle w:val="Fotnotsreferens"/>
          <w:sz w:val="24"/>
          <w:szCs w:val="24"/>
          <w:lang w:val="en-US"/>
        </w:rPr>
        <w:footnoteReference w:id="6"/>
      </w:r>
      <w:r w:rsidR="00294AF1">
        <w:rPr>
          <w:rFonts w:cstheme="minorHAnsi"/>
          <w:sz w:val="24"/>
          <w:szCs w:val="24"/>
          <w:lang w:val="en-US"/>
        </w:rPr>
        <w:t>.</w:t>
      </w:r>
      <w:r w:rsidR="00294AF1" w:rsidRPr="004F294C">
        <w:rPr>
          <w:rFonts w:cstheme="minorHAnsi"/>
          <w:sz w:val="24"/>
          <w:szCs w:val="24"/>
          <w:lang w:val="en-US"/>
        </w:rPr>
        <w:t xml:space="preserve"> </w:t>
      </w:r>
      <w:r w:rsidR="00B6519A">
        <w:rPr>
          <w:rFonts w:cstheme="minorHAnsi"/>
          <w:sz w:val="24"/>
          <w:szCs w:val="24"/>
          <w:lang w:val="en-US"/>
        </w:rPr>
        <w:t xml:space="preserve">The </w:t>
      </w:r>
      <w:r w:rsidR="00B6519A" w:rsidRPr="00D44C09">
        <w:rPr>
          <w:rFonts w:cstheme="minorHAnsi"/>
          <w:sz w:val="24"/>
          <w:szCs w:val="24"/>
          <w:lang w:val="en-US"/>
        </w:rPr>
        <w:t>common approach of the four accounts is from a production</w:t>
      </w:r>
      <w:bookmarkStart w:id="9" w:name="_Ref524948839"/>
      <w:r w:rsidR="00160707">
        <w:rPr>
          <w:rStyle w:val="Fotnotsreferens"/>
          <w:rFonts w:cstheme="minorHAnsi"/>
          <w:sz w:val="24"/>
          <w:szCs w:val="24"/>
          <w:lang w:val="en-US"/>
        </w:rPr>
        <w:footnoteReference w:id="7"/>
      </w:r>
      <w:bookmarkEnd w:id="9"/>
      <w:r w:rsidR="00B6519A" w:rsidRPr="00D44C09">
        <w:rPr>
          <w:rFonts w:cstheme="minorHAnsi"/>
          <w:sz w:val="24"/>
          <w:szCs w:val="24"/>
          <w:lang w:val="en-US"/>
        </w:rPr>
        <w:t xml:space="preserve"> perspective.</w:t>
      </w:r>
      <w:r w:rsidR="00B6519A">
        <w:rPr>
          <w:rFonts w:cstheme="minorHAnsi"/>
          <w:sz w:val="24"/>
          <w:szCs w:val="24"/>
          <w:lang w:val="en-US"/>
        </w:rPr>
        <w:t xml:space="preserve"> </w:t>
      </w:r>
    </w:p>
    <w:p w:rsidR="00B6519A" w:rsidRDefault="00294AF1" w:rsidP="004F294C">
      <w:pPr>
        <w:jc w:val="both"/>
        <w:rPr>
          <w:rFonts w:cstheme="minorHAnsi"/>
          <w:sz w:val="24"/>
          <w:szCs w:val="24"/>
          <w:lang w:val="en-US"/>
        </w:rPr>
      </w:pPr>
      <w:r w:rsidRPr="00C00A8E">
        <w:rPr>
          <w:rFonts w:cstheme="minorHAnsi"/>
          <w:sz w:val="24"/>
          <w:szCs w:val="24"/>
          <w:lang w:val="en-US"/>
        </w:rPr>
        <w:t xml:space="preserve">The </w:t>
      </w:r>
      <w:r w:rsidR="00C00A8E" w:rsidRPr="00294AF1">
        <w:rPr>
          <w:rFonts w:cstheme="minorHAnsi"/>
          <w:sz w:val="24"/>
          <w:szCs w:val="24"/>
          <w:lang w:val="en-US"/>
        </w:rPr>
        <w:t>Tourism industries energy flow account</w:t>
      </w:r>
      <w:r w:rsidR="00C00A8E">
        <w:rPr>
          <w:rFonts w:cstheme="minorHAnsi"/>
          <w:sz w:val="24"/>
          <w:szCs w:val="24"/>
          <w:lang w:val="en-US"/>
        </w:rPr>
        <w:t xml:space="preserve"> </w:t>
      </w:r>
      <w:r w:rsidRPr="00C00A8E">
        <w:rPr>
          <w:rFonts w:cstheme="minorHAnsi"/>
          <w:sz w:val="24"/>
          <w:szCs w:val="24"/>
          <w:lang w:val="en-US"/>
        </w:rPr>
        <w:t xml:space="preserve">and </w:t>
      </w:r>
      <w:r w:rsidR="00C00A8E" w:rsidRPr="00294AF1">
        <w:rPr>
          <w:rFonts w:cstheme="minorHAnsi"/>
          <w:sz w:val="24"/>
          <w:szCs w:val="24"/>
          <w:lang w:val="en-US"/>
        </w:rPr>
        <w:t>Tourism industries GHG emissions account</w:t>
      </w:r>
      <w:r w:rsidR="00C00A8E">
        <w:rPr>
          <w:rFonts w:cstheme="minorHAnsi"/>
          <w:sz w:val="24"/>
          <w:szCs w:val="24"/>
          <w:lang w:val="en-US"/>
        </w:rPr>
        <w:t xml:space="preserve"> </w:t>
      </w:r>
      <w:r w:rsidRPr="00C00A8E">
        <w:rPr>
          <w:rFonts w:cstheme="minorHAnsi"/>
          <w:sz w:val="24"/>
          <w:szCs w:val="24"/>
          <w:lang w:val="en-US"/>
        </w:rPr>
        <w:t xml:space="preserve">are shown respectively in </w:t>
      </w:r>
      <w:r w:rsidR="00C00A8E">
        <w:rPr>
          <w:rFonts w:cstheme="minorHAnsi"/>
          <w:sz w:val="24"/>
          <w:szCs w:val="24"/>
          <w:lang w:val="en-US"/>
        </w:rPr>
        <w:t xml:space="preserve">Table 1 </w:t>
      </w:r>
      <w:r w:rsidRPr="00C00A8E">
        <w:rPr>
          <w:rFonts w:cstheme="minorHAnsi"/>
          <w:sz w:val="24"/>
          <w:szCs w:val="24"/>
          <w:shd w:val="clear" w:color="auto" w:fill="FFFFFF" w:themeFill="background1"/>
          <w:lang w:val="en-US"/>
        </w:rPr>
        <w:t xml:space="preserve">and </w:t>
      </w:r>
      <w:r w:rsidR="00C00A8E">
        <w:rPr>
          <w:rFonts w:cstheme="minorHAnsi"/>
          <w:sz w:val="24"/>
          <w:szCs w:val="24"/>
          <w:shd w:val="clear" w:color="auto" w:fill="FFFFFF" w:themeFill="background1"/>
          <w:lang w:val="en-US"/>
        </w:rPr>
        <w:t xml:space="preserve">2 </w:t>
      </w:r>
      <w:r w:rsidRPr="00294AF1">
        <w:rPr>
          <w:rFonts w:cstheme="minorHAnsi"/>
          <w:sz w:val="24"/>
          <w:szCs w:val="24"/>
          <w:lang w:val="en-US"/>
        </w:rPr>
        <w:t>below.</w:t>
      </w:r>
      <w:r w:rsidR="00B6519A">
        <w:rPr>
          <w:rFonts w:cstheme="minorHAnsi"/>
          <w:sz w:val="24"/>
          <w:szCs w:val="24"/>
          <w:lang w:val="en-US"/>
        </w:rPr>
        <w:t xml:space="preserve"> </w:t>
      </w:r>
      <w:r w:rsidR="00071588" w:rsidRPr="004F294C">
        <w:rPr>
          <w:rFonts w:cstheme="minorHAnsi"/>
          <w:sz w:val="24"/>
          <w:szCs w:val="24"/>
          <w:lang w:val="en-US"/>
        </w:rPr>
        <w:t xml:space="preserve">As </w:t>
      </w:r>
      <w:r w:rsidR="004F294C">
        <w:rPr>
          <w:rFonts w:cstheme="minorHAnsi"/>
          <w:sz w:val="24"/>
          <w:szCs w:val="24"/>
          <w:lang w:val="en-US"/>
        </w:rPr>
        <w:t xml:space="preserve">can be seen in the Tables, the tourism supply and use tables for </w:t>
      </w:r>
      <w:r w:rsidR="004F294C" w:rsidRPr="004F294C">
        <w:rPr>
          <w:rFonts w:cstheme="minorHAnsi"/>
          <w:sz w:val="24"/>
          <w:szCs w:val="24"/>
          <w:lang w:val="en-US"/>
        </w:rPr>
        <w:t xml:space="preserve">environmental flows </w:t>
      </w:r>
      <w:r w:rsidR="004F294C">
        <w:rPr>
          <w:rFonts w:cstheme="minorHAnsi"/>
          <w:sz w:val="24"/>
          <w:szCs w:val="24"/>
          <w:lang w:val="en-US"/>
        </w:rPr>
        <w:t xml:space="preserve">are fully consistent with the corresponding </w:t>
      </w:r>
      <w:r w:rsidR="004F294C" w:rsidRPr="004F294C">
        <w:rPr>
          <w:rFonts w:cstheme="minorHAnsi"/>
          <w:sz w:val="24"/>
          <w:szCs w:val="24"/>
          <w:lang w:val="en-US"/>
        </w:rPr>
        <w:t xml:space="preserve">SEEA </w:t>
      </w:r>
      <w:r w:rsidR="004F294C">
        <w:rPr>
          <w:rFonts w:cstheme="minorHAnsi"/>
          <w:sz w:val="24"/>
          <w:szCs w:val="24"/>
          <w:lang w:val="en-US"/>
        </w:rPr>
        <w:t xml:space="preserve">tables, the main specific feature being that environmental flows are recorded for tourism industries </w:t>
      </w:r>
      <w:r w:rsidR="00B6519A">
        <w:rPr>
          <w:rFonts w:cstheme="minorHAnsi"/>
          <w:sz w:val="24"/>
          <w:szCs w:val="24"/>
          <w:lang w:val="en-US"/>
        </w:rPr>
        <w:t xml:space="preserve">following the TSA classification rather than for all industries in the economy following </w:t>
      </w:r>
      <w:r w:rsidR="00C00A8E">
        <w:rPr>
          <w:rFonts w:cstheme="minorHAnsi"/>
          <w:sz w:val="24"/>
          <w:szCs w:val="24"/>
          <w:lang w:val="en-US"/>
        </w:rPr>
        <w:t xml:space="preserve">the </w:t>
      </w:r>
      <w:r w:rsidR="00B6519A">
        <w:rPr>
          <w:rFonts w:cstheme="minorHAnsi"/>
          <w:sz w:val="24"/>
          <w:szCs w:val="24"/>
          <w:lang w:val="en-US"/>
        </w:rPr>
        <w:t xml:space="preserve">ISIC classification. </w:t>
      </w:r>
    </w:p>
    <w:p w:rsidR="00826953" w:rsidRPr="006D0459" w:rsidRDefault="00826953" w:rsidP="00071588">
      <w:pPr>
        <w:jc w:val="both"/>
        <w:rPr>
          <w:rFonts w:cstheme="minorHAnsi"/>
          <w:sz w:val="24"/>
          <w:szCs w:val="24"/>
          <w:lang w:val="en-US"/>
        </w:rPr>
      </w:pPr>
      <w:r w:rsidRPr="006D0459">
        <w:rPr>
          <w:rFonts w:cstheme="minorHAnsi"/>
          <w:sz w:val="24"/>
          <w:szCs w:val="24"/>
          <w:lang w:val="en-US"/>
        </w:rPr>
        <w:t xml:space="preserve">Another </w:t>
      </w:r>
      <w:r w:rsidR="00EB4452" w:rsidRPr="006D0459">
        <w:rPr>
          <w:rFonts w:cstheme="minorHAnsi"/>
          <w:sz w:val="24"/>
          <w:szCs w:val="24"/>
          <w:lang w:val="en-US"/>
        </w:rPr>
        <w:t xml:space="preserve">distinguishing feature of the tourism flow accounts with respect to the SEEA flow accounts, is that, consistently with </w:t>
      </w:r>
      <w:r w:rsidRPr="006D0459">
        <w:rPr>
          <w:rFonts w:cstheme="minorHAnsi"/>
          <w:sz w:val="24"/>
          <w:szCs w:val="24"/>
          <w:lang w:val="en-US"/>
        </w:rPr>
        <w:t>TSA Table 6 ‘Total domestic supply and internal tourism consumption’, f</w:t>
      </w:r>
      <w:r w:rsidR="00EB4452" w:rsidRPr="006D0459">
        <w:rPr>
          <w:rFonts w:cstheme="minorHAnsi"/>
          <w:sz w:val="24"/>
          <w:szCs w:val="24"/>
          <w:lang w:val="en-US"/>
        </w:rPr>
        <w:t>or tourism industr</w:t>
      </w:r>
      <w:r w:rsidR="003E7B2C" w:rsidRPr="006D0459">
        <w:rPr>
          <w:rFonts w:cstheme="minorHAnsi"/>
          <w:sz w:val="24"/>
          <w:szCs w:val="24"/>
          <w:lang w:val="en-US"/>
        </w:rPr>
        <w:t>ies and for other industries serving visitors</w:t>
      </w:r>
      <w:r w:rsidR="00EB4452" w:rsidRPr="006D0459">
        <w:rPr>
          <w:rFonts w:cstheme="minorHAnsi"/>
          <w:sz w:val="24"/>
          <w:szCs w:val="24"/>
          <w:lang w:val="en-US"/>
        </w:rPr>
        <w:t xml:space="preserve">, </w:t>
      </w:r>
      <w:r w:rsidRPr="006D0459">
        <w:rPr>
          <w:rFonts w:cstheme="minorHAnsi"/>
          <w:sz w:val="24"/>
          <w:szCs w:val="24"/>
          <w:lang w:val="en-US"/>
        </w:rPr>
        <w:t xml:space="preserve">two kinds of </w:t>
      </w:r>
      <w:r w:rsidR="00071588" w:rsidRPr="006D0459">
        <w:rPr>
          <w:rFonts w:cstheme="minorHAnsi"/>
          <w:sz w:val="24"/>
          <w:szCs w:val="24"/>
          <w:lang w:val="en-US"/>
        </w:rPr>
        <w:t>e</w:t>
      </w:r>
      <w:r w:rsidRPr="006D0459">
        <w:rPr>
          <w:rFonts w:cstheme="minorHAnsi"/>
          <w:sz w:val="24"/>
          <w:szCs w:val="24"/>
          <w:lang w:val="en-US"/>
        </w:rPr>
        <w:t>nvironmental flows are recorded</w:t>
      </w:r>
      <w:r w:rsidR="003E7B2C" w:rsidRPr="006D0459">
        <w:rPr>
          <w:rFonts w:cstheme="minorHAnsi"/>
          <w:sz w:val="24"/>
          <w:szCs w:val="24"/>
          <w:lang w:val="en-US"/>
        </w:rPr>
        <w:t xml:space="preserve"> for each industry</w:t>
      </w:r>
      <w:r w:rsidRPr="006D0459">
        <w:rPr>
          <w:rFonts w:cstheme="minorHAnsi"/>
          <w:sz w:val="24"/>
          <w:szCs w:val="24"/>
          <w:lang w:val="en-US"/>
        </w:rPr>
        <w:t xml:space="preserve">: </w:t>
      </w:r>
    </w:p>
    <w:p w:rsidR="00826953" w:rsidRPr="006D0459" w:rsidRDefault="00071588" w:rsidP="00826953">
      <w:pPr>
        <w:pStyle w:val="Liststycke"/>
        <w:numPr>
          <w:ilvl w:val="0"/>
          <w:numId w:val="21"/>
        </w:numPr>
        <w:jc w:val="both"/>
        <w:rPr>
          <w:rFonts w:asciiTheme="minorHAnsi" w:hAnsiTheme="minorHAnsi" w:cstheme="minorHAnsi"/>
          <w:sz w:val="24"/>
          <w:szCs w:val="24"/>
          <w:lang w:val="en-US"/>
        </w:rPr>
      </w:pPr>
      <w:r w:rsidRPr="006D0459">
        <w:rPr>
          <w:rFonts w:asciiTheme="minorHAnsi" w:hAnsiTheme="minorHAnsi" w:cstheme="minorHAnsi"/>
          <w:sz w:val="24"/>
          <w:szCs w:val="24"/>
          <w:lang w:val="en-US"/>
        </w:rPr>
        <w:t>for the industry as a whole (‘Total</w:t>
      </w:r>
      <w:r w:rsidR="003E7B2C" w:rsidRPr="006D0459">
        <w:rPr>
          <w:rFonts w:asciiTheme="minorHAnsi" w:hAnsiTheme="minorHAnsi" w:cstheme="minorHAnsi"/>
          <w:sz w:val="24"/>
          <w:szCs w:val="24"/>
          <w:lang w:val="en-US"/>
        </w:rPr>
        <w:t>’</w:t>
      </w:r>
      <w:r w:rsidRPr="006D0459">
        <w:rPr>
          <w:rFonts w:asciiTheme="minorHAnsi" w:hAnsiTheme="minorHAnsi" w:cstheme="minorHAnsi"/>
          <w:sz w:val="24"/>
          <w:szCs w:val="24"/>
          <w:lang w:val="en-US"/>
        </w:rPr>
        <w:t xml:space="preserve"> in </w:t>
      </w:r>
      <w:r w:rsidR="00990D4B" w:rsidRPr="006D0459">
        <w:rPr>
          <w:rFonts w:asciiTheme="minorHAnsi" w:hAnsiTheme="minorHAnsi" w:cstheme="minorHAnsi"/>
          <w:sz w:val="24"/>
          <w:szCs w:val="24"/>
          <w:lang w:val="en-US"/>
        </w:rPr>
        <w:t>in Tables</w:t>
      </w:r>
      <w:r w:rsidR="00990D4B">
        <w:rPr>
          <w:rFonts w:asciiTheme="minorHAnsi" w:hAnsiTheme="minorHAnsi" w:cstheme="minorHAnsi"/>
          <w:sz w:val="24"/>
          <w:szCs w:val="24"/>
          <w:lang w:val="en-US"/>
        </w:rPr>
        <w:t xml:space="preserve"> 1 and 2 below</w:t>
      </w:r>
      <w:r w:rsidRPr="006D0459">
        <w:rPr>
          <w:rFonts w:asciiTheme="minorHAnsi" w:hAnsiTheme="minorHAnsi" w:cstheme="minorHAnsi"/>
          <w:sz w:val="24"/>
          <w:szCs w:val="24"/>
          <w:lang w:val="en-US"/>
        </w:rPr>
        <w:t xml:space="preserve">) </w:t>
      </w:r>
    </w:p>
    <w:p w:rsidR="00EB4452" w:rsidRPr="006D0459" w:rsidRDefault="00071588" w:rsidP="00812C7E">
      <w:pPr>
        <w:pStyle w:val="Liststycke"/>
        <w:numPr>
          <w:ilvl w:val="0"/>
          <w:numId w:val="21"/>
        </w:numPr>
        <w:jc w:val="both"/>
        <w:rPr>
          <w:rFonts w:asciiTheme="minorHAnsi" w:hAnsiTheme="minorHAnsi" w:cstheme="minorHAnsi"/>
          <w:sz w:val="24"/>
          <w:szCs w:val="24"/>
          <w:lang w:val="en-US"/>
        </w:rPr>
      </w:pPr>
      <w:r w:rsidRPr="006D0459">
        <w:rPr>
          <w:rFonts w:asciiTheme="minorHAnsi" w:hAnsiTheme="minorHAnsi" w:cstheme="minorHAnsi"/>
          <w:sz w:val="24"/>
          <w:szCs w:val="24"/>
          <w:lang w:val="en-US"/>
        </w:rPr>
        <w:t xml:space="preserve">for the </w:t>
      </w:r>
      <w:r w:rsidR="00826953" w:rsidRPr="006D0459">
        <w:rPr>
          <w:rFonts w:asciiTheme="minorHAnsi" w:hAnsiTheme="minorHAnsi" w:cstheme="minorHAnsi"/>
          <w:sz w:val="24"/>
          <w:szCs w:val="24"/>
          <w:lang w:val="en-US"/>
        </w:rPr>
        <w:t xml:space="preserve">part </w:t>
      </w:r>
      <w:r w:rsidRPr="006D0459">
        <w:rPr>
          <w:rFonts w:asciiTheme="minorHAnsi" w:hAnsiTheme="minorHAnsi" w:cstheme="minorHAnsi"/>
          <w:sz w:val="24"/>
          <w:szCs w:val="24"/>
          <w:lang w:val="en-US"/>
        </w:rPr>
        <w:t>attributable to visitor activity and hence to tourism, so called tourism share</w:t>
      </w:r>
      <w:r w:rsidR="00826953" w:rsidRPr="006D0459">
        <w:rPr>
          <w:rFonts w:asciiTheme="minorHAnsi" w:hAnsiTheme="minorHAnsi" w:cstheme="minorHAnsi"/>
          <w:sz w:val="24"/>
          <w:szCs w:val="24"/>
          <w:lang w:val="en-US"/>
        </w:rPr>
        <w:t xml:space="preserve"> (‘Tsm</w:t>
      </w:r>
      <w:r w:rsidR="003E7B2C" w:rsidRPr="006D0459">
        <w:rPr>
          <w:rFonts w:asciiTheme="minorHAnsi" w:hAnsiTheme="minorHAnsi" w:cstheme="minorHAnsi"/>
          <w:sz w:val="24"/>
          <w:szCs w:val="24"/>
          <w:lang w:val="en-US"/>
        </w:rPr>
        <w:t>’</w:t>
      </w:r>
      <w:r w:rsidR="00826953" w:rsidRPr="006D0459">
        <w:rPr>
          <w:rFonts w:asciiTheme="minorHAnsi" w:hAnsiTheme="minorHAnsi" w:cstheme="minorHAnsi"/>
          <w:sz w:val="24"/>
          <w:szCs w:val="24"/>
          <w:lang w:val="en-US"/>
        </w:rPr>
        <w:t xml:space="preserve"> in Tables</w:t>
      </w:r>
      <w:r w:rsidR="00990D4B">
        <w:rPr>
          <w:rFonts w:asciiTheme="minorHAnsi" w:hAnsiTheme="minorHAnsi" w:cstheme="minorHAnsi"/>
          <w:sz w:val="24"/>
          <w:szCs w:val="24"/>
          <w:lang w:val="en-US"/>
        </w:rPr>
        <w:t xml:space="preserve"> 1 and 2 below</w:t>
      </w:r>
      <w:r w:rsidR="00826953" w:rsidRPr="006D0459">
        <w:rPr>
          <w:rFonts w:asciiTheme="minorHAnsi" w:hAnsiTheme="minorHAnsi" w:cstheme="minorHAnsi"/>
          <w:sz w:val="24"/>
          <w:szCs w:val="24"/>
          <w:lang w:val="en-US"/>
        </w:rPr>
        <w:t>)</w:t>
      </w:r>
      <w:r w:rsidRPr="006D0459">
        <w:rPr>
          <w:rFonts w:asciiTheme="minorHAnsi" w:hAnsiTheme="minorHAnsi" w:cstheme="minorHAnsi"/>
          <w:sz w:val="24"/>
          <w:szCs w:val="24"/>
          <w:lang w:val="en-US"/>
        </w:rPr>
        <w:t>. The TSA recommended methodological framework defines the Tourism share as: the ‘</w:t>
      </w:r>
      <w:r w:rsidRPr="006D0459">
        <w:rPr>
          <w:rFonts w:asciiTheme="minorHAnsi" w:hAnsiTheme="minorHAnsi" w:cstheme="minorHAnsi"/>
          <w:i/>
          <w:sz w:val="24"/>
          <w:szCs w:val="24"/>
          <w:lang w:val="en-US"/>
        </w:rPr>
        <w:t>share of the corresponding fraction of internal tourism consumption in each component of supply. For each industry, the tourism share of output (in value), is the sum of the tourism share corresponding to each product component of its output</w:t>
      </w:r>
      <w:r w:rsidR="00826953" w:rsidRPr="006D0459">
        <w:rPr>
          <w:rFonts w:asciiTheme="minorHAnsi" w:hAnsiTheme="minorHAnsi" w:cstheme="minorHAnsi"/>
          <w:sz w:val="24"/>
          <w:szCs w:val="24"/>
          <w:lang w:val="en-US"/>
        </w:rPr>
        <w:t>’. (UNWTO et al, 2010, Glossary of terms).</w:t>
      </w:r>
    </w:p>
    <w:p w:rsidR="00E2646A" w:rsidRPr="00F8175F" w:rsidRDefault="00E2646A" w:rsidP="00E2646A">
      <w:pPr>
        <w:jc w:val="both"/>
        <w:rPr>
          <w:rFonts w:cstheme="minorHAnsi"/>
          <w:sz w:val="24"/>
          <w:szCs w:val="24"/>
          <w:lang w:val="it-IT"/>
        </w:rPr>
      </w:pPr>
    </w:p>
    <w:p w:rsidR="00E2646A" w:rsidRPr="00F8175F" w:rsidRDefault="00E2646A" w:rsidP="00E2646A">
      <w:pPr>
        <w:pStyle w:val="Liststycke"/>
        <w:numPr>
          <w:ilvl w:val="0"/>
          <w:numId w:val="20"/>
        </w:numPr>
        <w:spacing w:after="0" w:line="240" w:lineRule="auto"/>
        <w:jc w:val="both"/>
        <w:rPr>
          <w:rFonts w:asciiTheme="minorHAnsi" w:hAnsiTheme="minorHAnsi" w:cstheme="minorHAnsi"/>
          <w:sz w:val="24"/>
          <w:szCs w:val="24"/>
          <w:lang w:val="it-IT"/>
        </w:rPr>
        <w:sectPr w:rsidR="00E2646A" w:rsidRPr="00F8175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E2646A" w:rsidRDefault="00E2646A" w:rsidP="00E2646A">
      <w:pPr>
        <w:pStyle w:val="Beskrivning"/>
        <w:rPr>
          <w:rFonts w:asciiTheme="minorHAnsi" w:hAnsiTheme="minorHAnsi" w:cstheme="minorHAnsi"/>
          <w:b w:val="0"/>
          <w:sz w:val="24"/>
          <w:szCs w:val="24"/>
          <w:lang w:val="en-US"/>
        </w:rPr>
      </w:pPr>
      <w:r w:rsidRPr="007F14B1">
        <w:rPr>
          <w:rFonts w:asciiTheme="minorHAnsi" w:hAnsiTheme="minorHAnsi" w:cstheme="minorHAnsi"/>
          <w:sz w:val="24"/>
          <w:szCs w:val="24"/>
          <w:lang w:val="en-US"/>
        </w:rPr>
        <w:t>Table</w:t>
      </w:r>
      <w:r w:rsidRPr="007F14B1">
        <w:rPr>
          <w:lang w:val="en-US"/>
        </w:rPr>
        <w:t xml:space="preserve"> </w:t>
      </w:r>
      <w:r w:rsidRPr="007F14B1">
        <w:rPr>
          <w:rFonts w:asciiTheme="minorHAnsi" w:hAnsiTheme="minorHAnsi"/>
          <w:sz w:val="24"/>
          <w:szCs w:val="24"/>
        </w:rPr>
        <w:fldChar w:fldCharType="begin"/>
      </w:r>
      <w:r w:rsidRPr="007F14B1">
        <w:rPr>
          <w:rFonts w:asciiTheme="minorHAnsi" w:hAnsiTheme="minorHAnsi"/>
          <w:sz w:val="24"/>
          <w:szCs w:val="24"/>
          <w:lang w:val="en-US"/>
        </w:rPr>
        <w:instrText xml:space="preserve"> SEQ Table \* ARABIC </w:instrText>
      </w:r>
      <w:r w:rsidRPr="007F14B1">
        <w:rPr>
          <w:rFonts w:asciiTheme="minorHAnsi" w:hAnsiTheme="minorHAnsi"/>
          <w:sz w:val="24"/>
          <w:szCs w:val="24"/>
        </w:rPr>
        <w:fldChar w:fldCharType="separate"/>
      </w:r>
      <w:r w:rsidR="00747D9C">
        <w:rPr>
          <w:rFonts w:asciiTheme="minorHAnsi" w:hAnsiTheme="minorHAnsi"/>
          <w:noProof/>
          <w:sz w:val="24"/>
          <w:szCs w:val="24"/>
          <w:lang w:val="en-US"/>
        </w:rPr>
        <w:t>1</w:t>
      </w:r>
      <w:r w:rsidRPr="007F14B1">
        <w:rPr>
          <w:rFonts w:asciiTheme="minorHAnsi" w:hAnsiTheme="minorHAnsi"/>
          <w:sz w:val="24"/>
          <w:szCs w:val="24"/>
        </w:rPr>
        <w:fldChar w:fldCharType="end"/>
      </w:r>
      <w:r w:rsidRPr="004F1EE2">
        <w:rPr>
          <w:rFonts w:asciiTheme="minorHAnsi" w:hAnsiTheme="minorHAnsi" w:cstheme="minorHAnsi"/>
          <w:sz w:val="24"/>
          <w:szCs w:val="24"/>
          <w:lang w:val="en-US"/>
        </w:rPr>
        <w:t xml:space="preserve">– Tourism </w:t>
      </w:r>
      <w:r w:rsidR="00B25ED3">
        <w:rPr>
          <w:rFonts w:asciiTheme="minorHAnsi" w:hAnsiTheme="minorHAnsi" w:cstheme="minorHAnsi"/>
          <w:sz w:val="24"/>
          <w:szCs w:val="24"/>
          <w:lang w:val="en-US"/>
        </w:rPr>
        <w:t xml:space="preserve">industries </w:t>
      </w:r>
      <w:r w:rsidRPr="004F1EE2">
        <w:rPr>
          <w:rFonts w:asciiTheme="minorHAnsi" w:hAnsiTheme="minorHAnsi" w:cstheme="minorHAnsi"/>
          <w:sz w:val="24"/>
          <w:szCs w:val="24"/>
          <w:lang w:val="en-US"/>
        </w:rPr>
        <w:t>energy flow account (joules*)</w:t>
      </w:r>
    </w:p>
    <w:p w:rsidR="00E2646A" w:rsidRPr="00D27CA5" w:rsidRDefault="00E2646A" w:rsidP="00E2646A">
      <w:pPr>
        <w:pStyle w:val="Liststycke"/>
        <w:spacing w:line="240" w:lineRule="auto"/>
        <w:ind w:left="0"/>
        <w:contextualSpacing w:val="0"/>
        <w:jc w:val="both"/>
        <w:rPr>
          <w:rFonts w:asciiTheme="minorHAnsi" w:hAnsiTheme="minorHAnsi" w:cstheme="minorHAnsi"/>
          <w:b/>
          <w:sz w:val="24"/>
          <w:szCs w:val="24"/>
          <w:lang w:val="en-US"/>
        </w:rPr>
      </w:pPr>
      <w:r>
        <w:rPr>
          <w:noProof/>
          <w:lang w:eastAsia="sv-SE"/>
        </w:rPr>
        <w:drawing>
          <wp:inline distT="0" distB="0" distL="0" distR="0" wp14:anchorId="17A9B4DE" wp14:editId="648C5A79">
            <wp:extent cx="9128098" cy="4301599"/>
            <wp:effectExtent l="19050" t="19050" r="16510" b="228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228" t="9607" r="1466" b="17030"/>
                    <a:stretch/>
                  </pic:blipFill>
                  <pic:spPr bwMode="auto">
                    <a:xfrm>
                      <a:off x="0" y="0"/>
                      <a:ext cx="9141554" cy="43079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07FDE" w:rsidRPr="002C107F" w:rsidRDefault="00E2646A" w:rsidP="00C07FDE">
      <w:pPr>
        <w:shd w:val="clear" w:color="auto" w:fill="FFFFFF" w:themeFill="background1"/>
        <w:rPr>
          <w:sz w:val="20"/>
          <w:szCs w:val="20"/>
          <w:lang w:val="en-US"/>
        </w:rPr>
      </w:pPr>
      <w:r w:rsidRPr="002C107F">
        <w:rPr>
          <w:sz w:val="20"/>
          <w:szCs w:val="20"/>
          <w:lang w:val="en-US"/>
        </w:rPr>
        <w:t>[</w:t>
      </w:r>
      <w:r w:rsidR="003E7B2C" w:rsidRPr="002C107F">
        <w:rPr>
          <w:sz w:val="20"/>
          <w:szCs w:val="20"/>
          <w:lang w:val="en-US"/>
        </w:rPr>
        <w:t>Source</w:t>
      </w:r>
      <w:r w:rsidRPr="002C107F">
        <w:rPr>
          <w:sz w:val="20"/>
          <w:szCs w:val="20"/>
          <w:lang w:val="en-US"/>
        </w:rPr>
        <w:t>, UNWTO (2018</w:t>
      </w:r>
      <w:r w:rsidR="00B930F6" w:rsidRPr="002C107F">
        <w:rPr>
          <w:sz w:val="20"/>
          <w:szCs w:val="20"/>
          <w:lang w:val="en-US"/>
        </w:rPr>
        <w:t>a</w:t>
      </w:r>
      <w:r w:rsidRPr="002C107F">
        <w:rPr>
          <w:sz w:val="20"/>
          <w:szCs w:val="20"/>
          <w:lang w:val="en-US"/>
        </w:rPr>
        <w:t>)]</w:t>
      </w:r>
    </w:p>
    <w:p w:rsidR="00E2646A" w:rsidRPr="002C107F" w:rsidRDefault="00E2646A" w:rsidP="00C07FDE">
      <w:pPr>
        <w:shd w:val="clear" w:color="auto" w:fill="FFFFFF" w:themeFill="background1"/>
        <w:jc w:val="both"/>
        <w:rPr>
          <w:sz w:val="20"/>
          <w:szCs w:val="20"/>
          <w:lang w:val="en-US"/>
        </w:rPr>
      </w:pPr>
      <w:r w:rsidRPr="002C107F">
        <w:rPr>
          <w:sz w:val="20"/>
          <w:szCs w:val="20"/>
          <w:lang w:val="en-US"/>
        </w:rPr>
        <w:br/>
      </w:r>
      <w:r w:rsidRPr="004F1EE2">
        <w:rPr>
          <w:rFonts w:cstheme="minorHAnsi"/>
          <w:sz w:val="24"/>
          <w:szCs w:val="24"/>
          <w:lang w:val="en-US"/>
        </w:rPr>
        <w:t>*</w:t>
      </w:r>
      <w:r w:rsidRPr="002C107F">
        <w:rPr>
          <w:lang w:val="en-US"/>
        </w:rPr>
        <w:t xml:space="preserve"> </w:t>
      </w:r>
      <w:r w:rsidRPr="002C107F">
        <w:rPr>
          <w:sz w:val="20"/>
          <w:szCs w:val="20"/>
          <w:lang w:val="en-US"/>
        </w:rPr>
        <w:t xml:space="preserve">According to the International Recommendations for Energy Statistics (IRES), energy statistics are supposed to be compiled by converting physical measures of mass and volume such as tonnes, litres and cubic metres into a common unit representing energy content in net calorific terms. Joule is the common unit generally used for expressing energy flows. </w:t>
      </w:r>
      <w:r w:rsidR="00826953" w:rsidRPr="002C107F">
        <w:rPr>
          <w:sz w:val="20"/>
          <w:szCs w:val="20"/>
          <w:lang w:val="en-US"/>
        </w:rPr>
        <w:t xml:space="preserve">’Tsm’ is the component of any energy flow attributable to visitor activity and hence to tourism, so called tourism share, ’Total’ is the total energy flow for any industry regardless of the portion attributable to tourism consumption. </w:t>
      </w:r>
      <w:r w:rsidR="00C07FDE" w:rsidRPr="002C107F">
        <w:rPr>
          <w:sz w:val="20"/>
          <w:szCs w:val="20"/>
          <w:lang w:val="en-US"/>
        </w:rPr>
        <w:t xml:space="preserve">Key cells for the compilation of this </w:t>
      </w:r>
      <w:r w:rsidRPr="002C107F">
        <w:rPr>
          <w:sz w:val="20"/>
          <w:szCs w:val="20"/>
          <w:lang w:val="en-US"/>
        </w:rPr>
        <w:t xml:space="preserve">account are highlighted in red. </w:t>
      </w:r>
    </w:p>
    <w:p w:rsidR="00E2646A" w:rsidRPr="00394AE3" w:rsidRDefault="00E2646A" w:rsidP="00E2646A">
      <w:pPr>
        <w:pStyle w:val="Liststycke"/>
        <w:spacing w:after="0" w:line="240" w:lineRule="auto"/>
        <w:jc w:val="both"/>
        <w:rPr>
          <w:rFonts w:asciiTheme="minorHAnsi" w:hAnsiTheme="minorHAnsi" w:cstheme="minorHAnsi"/>
          <w:b/>
          <w:sz w:val="24"/>
          <w:szCs w:val="24"/>
          <w:lang w:val="en-US"/>
        </w:rPr>
        <w:sectPr w:rsidR="00E2646A" w:rsidRPr="00394AE3" w:rsidSect="004F1EE2">
          <w:pgSz w:w="16838" w:h="11906" w:orient="landscape"/>
          <w:pgMar w:top="1134" w:right="1418" w:bottom="1134" w:left="1134" w:header="709" w:footer="709" w:gutter="0"/>
          <w:cols w:space="708"/>
          <w:docGrid w:linePitch="360"/>
        </w:sectPr>
      </w:pPr>
      <w:r w:rsidRPr="00394AE3">
        <w:rPr>
          <w:rFonts w:asciiTheme="minorHAnsi" w:hAnsiTheme="minorHAnsi" w:cstheme="minorHAnsi"/>
          <w:b/>
          <w:sz w:val="24"/>
          <w:szCs w:val="24"/>
          <w:lang w:val="en-US"/>
        </w:rPr>
        <w:br w:type="page"/>
      </w:r>
    </w:p>
    <w:p w:rsidR="00E2646A" w:rsidRDefault="00E2646A" w:rsidP="00E2646A">
      <w:pPr>
        <w:pStyle w:val="Liststycke"/>
        <w:spacing w:after="0" w:line="240" w:lineRule="auto"/>
        <w:ind w:left="709"/>
        <w:jc w:val="both"/>
        <w:rPr>
          <w:rFonts w:asciiTheme="minorHAnsi" w:hAnsiTheme="minorHAnsi" w:cstheme="minorHAnsi"/>
          <w:b/>
          <w:sz w:val="24"/>
          <w:szCs w:val="24"/>
          <w:lang w:val="en-US"/>
        </w:rPr>
      </w:pPr>
    </w:p>
    <w:p w:rsidR="00E2646A" w:rsidRPr="00D27CA5" w:rsidRDefault="00E2646A" w:rsidP="00C07FDE">
      <w:pPr>
        <w:pStyle w:val="Liststycke"/>
        <w:spacing w:after="0" w:line="240" w:lineRule="auto"/>
        <w:ind w:left="0"/>
        <w:jc w:val="both"/>
        <w:rPr>
          <w:rFonts w:asciiTheme="minorHAnsi" w:hAnsiTheme="minorHAnsi" w:cstheme="minorHAnsi"/>
          <w:b/>
          <w:sz w:val="24"/>
          <w:szCs w:val="24"/>
          <w:lang w:val="en-US"/>
        </w:rPr>
      </w:pPr>
      <w:r w:rsidRPr="007F14B1">
        <w:rPr>
          <w:rFonts w:asciiTheme="minorHAnsi" w:hAnsiTheme="minorHAnsi" w:cstheme="minorHAnsi"/>
          <w:b/>
          <w:sz w:val="24"/>
          <w:szCs w:val="24"/>
          <w:lang w:val="en-US"/>
        </w:rPr>
        <w:t>Table</w:t>
      </w:r>
      <w:r w:rsidRPr="007F14B1">
        <w:rPr>
          <w:b/>
          <w:lang w:val="en-US"/>
        </w:rPr>
        <w:t xml:space="preserve"> </w:t>
      </w:r>
      <w:r w:rsidRPr="007F14B1">
        <w:rPr>
          <w:rFonts w:asciiTheme="minorHAnsi" w:hAnsiTheme="minorHAnsi"/>
          <w:b/>
          <w:sz w:val="24"/>
          <w:szCs w:val="24"/>
        </w:rPr>
        <w:fldChar w:fldCharType="begin"/>
      </w:r>
      <w:r w:rsidRPr="007F14B1">
        <w:rPr>
          <w:rFonts w:asciiTheme="minorHAnsi" w:hAnsiTheme="minorHAnsi"/>
          <w:b/>
          <w:sz w:val="24"/>
          <w:szCs w:val="24"/>
          <w:lang w:val="en-US"/>
        </w:rPr>
        <w:instrText xml:space="preserve"> SEQ Table \* ARABIC </w:instrText>
      </w:r>
      <w:r w:rsidRPr="007F14B1">
        <w:rPr>
          <w:rFonts w:asciiTheme="minorHAnsi" w:hAnsiTheme="minorHAnsi"/>
          <w:b/>
          <w:sz w:val="24"/>
          <w:szCs w:val="24"/>
        </w:rPr>
        <w:fldChar w:fldCharType="separate"/>
      </w:r>
      <w:r w:rsidR="00747D9C">
        <w:rPr>
          <w:rFonts w:asciiTheme="minorHAnsi" w:hAnsiTheme="minorHAnsi"/>
          <w:b/>
          <w:noProof/>
          <w:sz w:val="24"/>
          <w:szCs w:val="24"/>
          <w:lang w:val="en-US"/>
        </w:rPr>
        <w:t>2</w:t>
      </w:r>
      <w:r w:rsidRPr="007F14B1">
        <w:rPr>
          <w:rFonts w:asciiTheme="minorHAnsi" w:hAnsiTheme="minorHAnsi"/>
          <w:b/>
          <w:sz w:val="24"/>
          <w:szCs w:val="24"/>
        </w:rPr>
        <w:fldChar w:fldCharType="end"/>
      </w:r>
      <w:r w:rsidRPr="00D27CA5">
        <w:rPr>
          <w:rFonts w:asciiTheme="minorHAnsi" w:hAnsiTheme="minorHAnsi" w:cstheme="minorHAnsi"/>
          <w:b/>
          <w:sz w:val="24"/>
          <w:szCs w:val="24"/>
          <w:lang w:val="en-US"/>
        </w:rPr>
        <w:t xml:space="preserve">: Tourism </w:t>
      </w:r>
      <w:r w:rsidR="00B25ED3">
        <w:rPr>
          <w:rFonts w:asciiTheme="minorHAnsi" w:hAnsiTheme="minorHAnsi" w:cstheme="minorHAnsi"/>
          <w:b/>
          <w:sz w:val="24"/>
          <w:szCs w:val="24"/>
          <w:lang w:val="en-US"/>
        </w:rPr>
        <w:t xml:space="preserve">industries </w:t>
      </w:r>
      <w:r w:rsidRPr="00D27CA5">
        <w:rPr>
          <w:rFonts w:asciiTheme="minorHAnsi" w:hAnsiTheme="minorHAnsi" w:cstheme="minorHAnsi"/>
          <w:b/>
          <w:sz w:val="24"/>
          <w:szCs w:val="24"/>
          <w:lang w:val="en-US"/>
        </w:rPr>
        <w:t>GHG emissions account (tonnes)</w:t>
      </w:r>
    </w:p>
    <w:p w:rsidR="00C07FDE" w:rsidRDefault="00E2646A" w:rsidP="00C07FDE">
      <w:pPr>
        <w:spacing w:after="120"/>
        <w:jc w:val="both"/>
        <w:rPr>
          <w:sz w:val="20"/>
          <w:szCs w:val="20"/>
        </w:rPr>
      </w:pPr>
      <w:r>
        <w:rPr>
          <w:noProof/>
          <w:lang w:eastAsia="sv-SE"/>
        </w:rPr>
        <w:drawing>
          <wp:inline distT="0" distB="0" distL="0" distR="0" wp14:anchorId="7777CC24" wp14:editId="49DF6867">
            <wp:extent cx="6166524" cy="2210462"/>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001" t="18995" r="8290" b="30131"/>
                    <a:stretch/>
                  </pic:blipFill>
                  <pic:spPr bwMode="auto">
                    <a:xfrm>
                      <a:off x="0" y="0"/>
                      <a:ext cx="6179190" cy="2215002"/>
                    </a:xfrm>
                    <a:prstGeom prst="rect">
                      <a:avLst/>
                    </a:prstGeom>
                    <a:ln>
                      <a:noFill/>
                    </a:ln>
                    <a:extLst>
                      <a:ext uri="{53640926-AAD7-44D8-BBD7-CCE9431645EC}">
                        <a14:shadowObscured xmlns:a14="http://schemas.microsoft.com/office/drawing/2010/main"/>
                      </a:ext>
                    </a:extLst>
                  </pic:spPr>
                </pic:pic>
              </a:graphicData>
            </a:graphic>
          </wp:inline>
        </w:drawing>
      </w:r>
    </w:p>
    <w:p w:rsidR="00C07FDE" w:rsidRPr="002C107F" w:rsidRDefault="00E2646A" w:rsidP="00C07FDE">
      <w:pPr>
        <w:spacing w:after="120"/>
        <w:jc w:val="both"/>
        <w:rPr>
          <w:sz w:val="20"/>
          <w:szCs w:val="20"/>
          <w:lang w:val="en-US"/>
        </w:rPr>
      </w:pPr>
      <w:r w:rsidRPr="002C107F">
        <w:rPr>
          <w:sz w:val="20"/>
          <w:szCs w:val="20"/>
          <w:lang w:val="en-US"/>
        </w:rPr>
        <w:t>[</w:t>
      </w:r>
      <w:r w:rsidR="00B930F6" w:rsidRPr="002C107F">
        <w:rPr>
          <w:sz w:val="20"/>
          <w:szCs w:val="20"/>
          <w:lang w:val="en-US"/>
        </w:rPr>
        <w:t>Source</w:t>
      </w:r>
      <w:r w:rsidRPr="002C107F">
        <w:rPr>
          <w:sz w:val="20"/>
          <w:szCs w:val="20"/>
          <w:lang w:val="en-US"/>
        </w:rPr>
        <w:t>, UNWTO (2018</w:t>
      </w:r>
      <w:r w:rsidR="00B930F6" w:rsidRPr="002C107F">
        <w:rPr>
          <w:sz w:val="20"/>
          <w:szCs w:val="20"/>
          <w:lang w:val="en-US"/>
        </w:rPr>
        <w:t>a</w:t>
      </w:r>
      <w:r w:rsidR="00C07FDE" w:rsidRPr="002C107F">
        <w:rPr>
          <w:sz w:val="20"/>
          <w:szCs w:val="20"/>
          <w:lang w:val="en-US"/>
        </w:rPr>
        <w:t xml:space="preserve">)]; key cells for the compilation of this </w:t>
      </w:r>
      <w:r w:rsidRPr="002C107F">
        <w:rPr>
          <w:sz w:val="20"/>
          <w:szCs w:val="20"/>
          <w:lang w:val="en-US"/>
        </w:rPr>
        <w:t>account are highlighted in red. For each industry, ’Tsm’</w:t>
      </w:r>
      <w:r w:rsidR="00124035" w:rsidRPr="002C107F">
        <w:rPr>
          <w:sz w:val="20"/>
          <w:szCs w:val="20"/>
          <w:lang w:val="en-US"/>
        </w:rPr>
        <w:t xml:space="preserve"> </w:t>
      </w:r>
      <w:r w:rsidRPr="002C107F">
        <w:rPr>
          <w:sz w:val="20"/>
          <w:szCs w:val="20"/>
          <w:lang w:val="en-US"/>
        </w:rPr>
        <w:t>is the component of any emitted substance attributable to visitor activity and hence to tourism, so called tourism share, ’Total’ is the total substance emitted by any industry regardless of the portion attributable to tourism consumption</w:t>
      </w:r>
      <w:r w:rsidR="00C07FDE" w:rsidRPr="002C107F">
        <w:rPr>
          <w:sz w:val="20"/>
          <w:szCs w:val="20"/>
          <w:lang w:val="en-US"/>
        </w:rPr>
        <w:t>.</w:t>
      </w:r>
    </w:p>
    <w:p w:rsidR="00C07FDE" w:rsidRPr="002C107F" w:rsidRDefault="00C07FDE" w:rsidP="00C07FDE">
      <w:pPr>
        <w:spacing w:after="120"/>
        <w:ind w:left="709"/>
        <w:jc w:val="both"/>
        <w:rPr>
          <w:sz w:val="20"/>
          <w:szCs w:val="20"/>
          <w:lang w:val="en-US"/>
        </w:rPr>
      </w:pPr>
    </w:p>
    <w:p w:rsidR="007D41BE" w:rsidRDefault="00124035" w:rsidP="00124035">
      <w:pPr>
        <w:jc w:val="both"/>
        <w:rPr>
          <w:rFonts w:cstheme="minorHAnsi"/>
          <w:sz w:val="24"/>
          <w:szCs w:val="24"/>
          <w:lang w:val="en-US"/>
        </w:rPr>
      </w:pPr>
      <w:r>
        <w:rPr>
          <w:rFonts w:cstheme="minorHAnsi"/>
          <w:sz w:val="24"/>
          <w:szCs w:val="24"/>
          <w:lang w:val="en-US"/>
        </w:rPr>
        <w:t>In addition to developing the accounts framework, t</w:t>
      </w:r>
      <w:r w:rsidR="000E3391" w:rsidRPr="00D44C09">
        <w:rPr>
          <w:rFonts w:cstheme="minorHAnsi"/>
          <w:sz w:val="24"/>
          <w:szCs w:val="24"/>
          <w:lang w:val="en-US"/>
        </w:rPr>
        <w:t xml:space="preserve">he </w:t>
      </w:r>
      <w:r w:rsidR="00E2646A">
        <w:rPr>
          <w:rFonts w:cstheme="minorHAnsi"/>
          <w:sz w:val="24"/>
          <w:szCs w:val="24"/>
          <w:lang w:val="en-US"/>
        </w:rPr>
        <w:t xml:space="preserve">Technical Note also provides </w:t>
      </w:r>
      <w:bookmarkStart w:id="10" w:name="_Ref504318491"/>
      <w:bookmarkEnd w:id="8"/>
      <w:r w:rsidR="007D41BE" w:rsidRPr="00124035">
        <w:rPr>
          <w:rFonts w:cstheme="minorHAnsi"/>
          <w:color w:val="000000" w:themeColor="text1"/>
          <w:sz w:val="24"/>
          <w:szCs w:val="24"/>
          <w:lang w:val="en-US"/>
        </w:rPr>
        <w:t>methodological advice to calculate the tourism share of environmental flows</w:t>
      </w:r>
      <w:r w:rsidR="007D41BE" w:rsidRPr="005261F2">
        <w:rPr>
          <w:rFonts w:cstheme="minorHAnsi"/>
          <w:color w:val="000000" w:themeColor="text1"/>
          <w:sz w:val="24"/>
          <w:szCs w:val="24"/>
          <w:lang w:val="en-US"/>
        </w:rPr>
        <w:t xml:space="preserve">, </w:t>
      </w:r>
      <w:r>
        <w:rPr>
          <w:rFonts w:cstheme="minorHAnsi"/>
          <w:color w:val="000000" w:themeColor="text1"/>
          <w:sz w:val="24"/>
          <w:szCs w:val="24"/>
          <w:lang w:val="en-US"/>
        </w:rPr>
        <w:t xml:space="preserve">(Tsm in the Tables), </w:t>
      </w:r>
      <w:r w:rsidR="007D41BE" w:rsidRPr="005261F2">
        <w:rPr>
          <w:rFonts w:cstheme="minorHAnsi"/>
          <w:color w:val="000000" w:themeColor="text1"/>
          <w:sz w:val="24"/>
          <w:szCs w:val="24"/>
          <w:lang w:val="en-US"/>
        </w:rPr>
        <w:t>i.e. to distinguish, out of the total amount of an environmental flow (water, energy, GHG emissions, solid waste, etc.) related to a</w:t>
      </w:r>
      <w:r w:rsidR="005D1823">
        <w:rPr>
          <w:rFonts w:cstheme="minorHAnsi"/>
          <w:color w:val="000000" w:themeColor="text1"/>
          <w:sz w:val="24"/>
          <w:szCs w:val="24"/>
          <w:lang w:val="en-US"/>
        </w:rPr>
        <w:t>n</w:t>
      </w:r>
      <w:r w:rsidR="007D41BE" w:rsidRPr="005261F2">
        <w:rPr>
          <w:rFonts w:cstheme="minorHAnsi"/>
          <w:color w:val="000000" w:themeColor="text1"/>
          <w:sz w:val="24"/>
          <w:szCs w:val="24"/>
          <w:lang w:val="en-US"/>
        </w:rPr>
        <w:t xml:space="preserve"> industry </w:t>
      </w:r>
      <w:r w:rsidR="005D1823">
        <w:rPr>
          <w:rFonts w:cstheme="minorHAnsi"/>
          <w:color w:val="000000" w:themeColor="text1"/>
          <w:sz w:val="24"/>
          <w:szCs w:val="24"/>
          <w:lang w:val="en-US"/>
        </w:rPr>
        <w:t xml:space="preserve">serving visitors </w:t>
      </w:r>
      <w:r w:rsidR="007D41BE" w:rsidRPr="005261F2">
        <w:rPr>
          <w:rFonts w:cstheme="minorHAnsi"/>
          <w:color w:val="000000" w:themeColor="text1"/>
          <w:sz w:val="24"/>
          <w:szCs w:val="24"/>
          <w:lang w:val="en-US"/>
        </w:rPr>
        <w:t xml:space="preserve">– the component attributable to visitor activity and hence to tourism, </w:t>
      </w:r>
      <w:r w:rsidR="00B25ED3">
        <w:rPr>
          <w:rFonts w:cstheme="minorHAnsi"/>
          <w:color w:val="000000" w:themeColor="text1"/>
          <w:sz w:val="24"/>
          <w:szCs w:val="24"/>
          <w:lang w:val="en-US"/>
        </w:rPr>
        <w:t xml:space="preserve">i.e. the </w:t>
      </w:r>
      <w:r w:rsidR="007D41BE" w:rsidRPr="005261F2">
        <w:rPr>
          <w:rFonts w:cstheme="minorHAnsi"/>
          <w:color w:val="000000" w:themeColor="text1"/>
          <w:sz w:val="24"/>
          <w:szCs w:val="24"/>
          <w:lang w:val="en-US"/>
        </w:rPr>
        <w:t xml:space="preserve">tourism share of environmental flows. On the basis of the detailed analysis of the matter provided in Costantino (2017), the Technical Note, </w:t>
      </w:r>
      <w:r w:rsidR="007D41BE" w:rsidRPr="00CD65C0">
        <w:rPr>
          <w:rFonts w:cstheme="minorHAnsi"/>
          <w:sz w:val="24"/>
          <w:szCs w:val="24"/>
          <w:lang w:val="en-US"/>
        </w:rPr>
        <w:t>suggests, in the absence of directly collected data, to use preferably ratios derived from a TSA: output ratio</w:t>
      </w:r>
      <w:r w:rsidR="005D1823">
        <w:rPr>
          <w:rFonts w:cstheme="minorHAnsi"/>
          <w:sz w:val="24"/>
          <w:szCs w:val="24"/>
          <w:lang w:val="en-US"/>
        </w:rPr>
        <w:t>s</w:t>
      </w:r>
      <w:r w:rsidR="007D41BE" w:rsidRPr="00CD65C0">
        <w:rPr>
          <w:rFonts w:cstheme="minorHAnsi"/>
          <w:sz w:val="24"/>
          <w:szCs w:val="24"/>
          <w:lang w:val="en-US"/>
        </w:rPr>
        <w:t xml:space="preserve"> and intermediate consumption ratio</w:t>
      </w:r>
      <w:r w:rsidR="005D1823">
        <w:rPr>
          <w:rFonts w:cstheme="minorHAnsi"/>
          <w:sz w:val="24"/>
          <w:szCs w:val="24"/>
          <w:lang w:val="en-US"/>
        </w:rPr>
        <w:t>s</w:t>
      </w:r>
      <w:r w:rsidR="007D41BE" w:rsidRPr="00CD65C0">
        <w:rPr>
          <w:rFonts w:cstheme="minorHAnsi"/>
          <w:sz w:val="24"/>
          <w:szCs w:val="24"/>
          <w:lang w:val="en-US"/>
        </w:rPr>
        <w:t>. For example, the tourism share of GHG emissions of the air transport industry may be estimated by multiplying the total GHG emissions of that industry by the output ratio attributable to visitor consumption in the TSA. Output ratios are obtained by dividing an industry’s output sold to visitors by its total output; and intermediate consumption ratios can be similarly derived</w:t>
      </w:r>
      <w:r w:rsidR="00B25ED3">
        <w:rPr>
          <w:rStyle w:val="Fotnotsreferens"/>
          <w:rFonts w:cstheme="minorHAnsi"/>
          <w:sz w:val="24"/>
          <w:szCs w:val="24"/>
          <w:lang w:val="en-US"/>
        </w:rPr>
        <w:footnoteReference w:id="8"/>
      </w:r>
      <w:r w:rsidR="007D41BE" w:rsidRPr="00CD65C0">
        <w:rPr>
          <w:rFonts w:cstheme="minorHAnsi"/>
          <w:sz w:val="24"/>
          <w:szCs w:val="24"/>
          <w:lang w:val="en-US"/>
        </w:rPr>
        <w:t xml:space="preserve">. The suggested criterion for choosing between the two indicators is as follows: output ratios should be used where the magnitude of the environmental flow of interest is directly related to the level of production (e.g. GHG emissions and solid waste) while intermediate consumption ratios are best applied for those environmental flows that are inputs to production (e.g. energy). </w:t>
      </w:r>
      <w:bookmarkEnd w:id="10"/>
    </w:p>
    <w:p w:rsidR="006539D6" w:rsidRDefault="006539D6" w:rsidP="00124035">
      <w:pPr>
        <w:jc w:val="both"/>
        <w:rPr>
          <w:rFonts w:cstheme="minorHAnsi"/>
          <w:sz w:val="24"/>
          <w:szCs w:val="24"/>
          <w:lang w:val="en-US"/>
        </w:rPr>
      </w:pPr>
    </w:p>
    <w:p w:rsidR="006539D6" w:rsidRPr="00FA5A2B" w:rsidRDefault="006539D6" w:rsidP="00124035">
      <w:pPr>
        <w:jc w:val="both"/>
        <w:rPr>
          <w:rFonts w:cstheme="minorHAnsi"/>
          <w:sz w:val="24"/>
          <w:szCs w:val="24"/>
          <w:lang w:val="en-US"/>
        </w:rPr>
      </w:pPr>
    </w:p>
    <w:p w:rsidR="007D41BE" w:rsidRPr="006539D6" w:rsidRDefault="006539D6" w:rsidP="006539D6">
      <w:pPr>
        <w:jc w:val="both"/>
        <w:rPr>
          <w:rFonts w:cstheme="minorHAnsi"/>
          <w:sz w:val="24"/>
          <w:szCs w:val="24"/>
          <w:lang w:val="en-US"/>
        </w:rPr>
      </w:pPr>
      <w:r>
        <w:rPr>
          <w:rFonts w:cstheme="minorHAnsi"/>
          <w:sz w:val="24"/>
          <w:szCs w:val="24"/>
          <w:lang w:val="en-US"/>
        </w:rPr>
        <w:t>E</w:t>
      </w:r>
      <w:r w:rsidR="007D41BE" w:rsidRPr="006539D6">
        <w:rPr>
          <w:rFonts w:cstheme="minorHAnsi"/>
          <w:sz w:val="24"/>
          <w:szCs w:val="24"/>
          <w:lang w:val="en-US"/>
        </w:rPr>
        <w:t xml:space="preserve">conomic information on tourism industries </w:t>
      </w:r>
      <w:r>
        <w:rPr>
          <w:rFonts w:cstheme="minorHAnsi"/>
          <w:sz w:val="24"/>
          <w:szCs w:val="24"/>
          <w:lang w:val="en-US"/>
        </w:rPr>
        <w:t>(</w:t>
      </w:r>
      <w:r w:rsidR="007D41BE" w:rsidRPr="006539D6">
        <w:rPr>
          <w:rFonts w:cstheme="minorHAnsi"/>
          <w:sz w:val="24"/>
          <w:szCs w:val="24"/>
          <w:lang w:val="en-US"/>
        </w:rPr>
        <w:t>com</w:t>
      </w:r>
      <w:r>
        <w:rPr>
          <w:rFonts w:cstheme="minorHAnsi"/>
          <w:sz w:val="24"/>
          <w:szCs w:val="24"/>
          <w:lang w:val="en-US"/>
        </w:rPr>
        <w:t xml:space="preserve">piled within the TSA framework) can also be </w:t>
      </w:r>
      <w:r w:rsidR="007D41BE" w:rsidRPr="006539D6">
        <w:rPr>
          <w:rFonts w:cstheme="minorHAnsi"/>
          <w:sz w:val="24"/>
          <w:szCs w:val="24"/>
          <w:lang w:val="en-US"/>
        </w:rPr>
        <w:t xml:space="preserve">presented side by side with information on environmental flows </w:t>
      </w:r>
      <w:r>
        <w:rPr>
          <w:rFonts w:cstheme="minorHAnsi"/>
          <w:sz w:val="24"/>
          <w:szCs w:val="24"/>
          <w:lang w:val="en-US"/>
        </w:rPr>
        <w:t>(</w:t>
      </w:r>
      <w:r w:rsidR="007D41BE" w:rsidRPr="006539D6">
        <w:rPr>
          <w:rFonts w:cstheme="minorHAnsi"/>
          <w:sz w:val="24"/>
          <w:szCs w:val="24"/>
          <w:lang w:val="en-US"/>
        </w:rPr>
        <w:t>compiled following the core</w:t>
      </w:r>
      <w:r>
        <w:rPr>
          <w:rFonts w:cstheme="minorHAnsi"/>
          <w:sz w:val="24"/>
          <w:szCs w:val="24"/>
          <w:lang w:val="en-US"/>
        </w:rPr>
        <w:t xml:space="preserve"> integrated TSA-SEEA accounts) within the framework of a </w:t>
      </w:r>
      <w:r w:rsidRPr="006539D6">
        <w:rPr>
          <w:rFonts w:cstheme="minorHAnsi"/>
          <w:i/>
          <w:sz w:val="24"/>
          <w:szCs w:val="24"/>
          <w:lang w:val="en-US"/>
        </w:rPr>
        <w:t>combined presentation</w:t>
      </w:r>
      <w:r w:rsidRPr="006539D6">
        <w:rPr>
          <w:rFonts w:cstheme="minorHAnsi"/>
          <w:b/>
          <w:sz w:val="24"/>
          <w:szCs w:val="24"/>
          <w:lang w:val="en-US"/>
        </w:rPr>
        <w:t xml:space="preserve"> </w:t>
      </w:r>
      <w:r w:rsidR="007D41BE" w:rsidRPr="006539D6">
        <w:rPr>
          <w:rFonts w:cstheme="minorHAnsi"/>
          <w:sz w:val="24"/>
          <w:szCs w:val="24"/>
          <w:lang w:val="en-US"/>
        </w:rPr>
        <w:t>(</w:t>
      </w:r>
      <w:r w:rsidR="007D41BE" w:rsidRPr="006539D6">
        <w:rPr>
          <w:rFonts w:cstheme="minorHAnsi"/>
          <w:sz w:val="24"/>
          <w:szCs w:val="24"/>
          <w:highlight w:val="magenta"/>
          <w:lang w:val="en-US"/>
        </w:rPr>
        <w:fldChar w:fldCharType="begin"/>
      </w:r>
      <w:r w:rsidR="007D41BE" w:rsidRPr="006539D6">
        <w:rPr>
          <w:rFonts w:cstheme="minorHAnsi"/>
          <w:sz w:val="24"/>
          <w:szCs w:val="24"/>
          <w:highlight w:val="magenta"/>
          <w:lang w:val="en-US"/>
        </w:rPr>
        <w:instrText xml:space="preserve"> REF _Ref524340036 \h  \* MERGEFORMAT </w:instrText>
      </w:r>
      <w:r w:rsidR="007D41BE" w:rsidRPr="006539D6">
        <w:rPr>
          <w:rFonts w:cstheme="minorHAnsi"/>
          <w:sz w:val="24"/>
          <w:szCs w:val="24"/>
          <w:highlight w:val="magenta"/>
          <w:lang w:val="en-US"/>
        </w:rPr>
      </w:r>
      <w:r w:rsidR="007D41BE" w:rsidRPr="006539D6">
        <w:rPr>
          <w:rFonts w:cstheme="minorHAnsi"/>
          <w:sz w:val="24"/>
          <w:szCs w:val="24"/>
          <w:highlight w:val="magenta"/>
          <w:lang w:val="en-US"/>
        </w:rPr>
        <w:fldChar w:fldCharType="separate"/>
      </w:r>
      <w:r w:rsidR="00747D9C" w:rsidRPr="00747D9C">
        <w:rPr>
          <w:rFonts w:cstheme="minorHAnsi"/>
          <w:sz w:val="24"/>
          <w:szCs w:val="24"/>
          <w:lang w:val="en-US"/>
        </w:rPr>
        <w:t>Table</w:t>
      </w:r>
      <w:r w:rsidR="00747D9C" w:rsidRPr="00747D9C">
        <w:rPr>
          <w:lang w:val="en-US"/>
        </w:rPr>
        <w:t xml:space="preserve"> </w:t>
      </w:r>
      <w:r w:rsidR="00747D9C" w:rsidRPr="00747D9C">
        <w:rPr>
          <w:noProof/>
          <w:sz w:val="24"/>
          <w:szCs w:val="24"/>
          <w:lang w:val="en-US"/>
        </w:rPr>
        <w:t>3</w:t>
      </w:r>
      <w:r w:rsidR="007D41BE" w:rsidRPr="006539D6">
        <w:rPr>
          <w:rFonts w:cstheme="minorHAnsi"/>
          <w:sz w:val="24"/>
          <w:szCs w:val="24"/>
          <w:highlight w:val="magenta"/>
          <w:lang w:val="en-US"/>
        </w:rPr>
        <w:fldChar w:fldCharType="end"/>
      </w:r>
      <w:r w:rsidR="007D41BE" w:rsidRPr="006539D6">
        <w:rPr>
          <w:rFonts w:cstheme="minorHAnsi"/>
          <w:sz w:val="24"/>
          <w:szCs w:val="24"/>
          <w:lang w:val="en-US"/>
        </w:rPr>
        <w:t>).</w:t>
      </w:r>
    </w:p>
    <w:p w:rsidR="007D41BE" w:rsidRDefault="007D41BE" w:rsidP="007D41BE">
      <w:pPr>
        <w:jc w:val="both"/>
        <w:rPr>
          <w:rFonts w:cstheme="minorHAnsi"/>
          <w:sz w:val="24"/>
          <w:szCs w:val="24"/>
          <w:lang w:val="en-US"/>
        </w:rPr>
      </w:pPr>
    </w:p>
    <w:p w:rsidR="005261F2" w:rsidRPr="005261F2" w:rsidRDefault="005261F2" w:rsidP="00C07FDE">
      <w:pPr>
        <w:pStyle w:val="Liststycke"/>
        <w:spacing w:after="0" w:line="240" w:lineRule="auto"/>
        <w:jc w:val="both"/>
        <w:rPr>
          <w:rFonts w:asciiTheme="minorHAnsi" w:hAnsiTheme="minorHAnsi" w:cstheme="minorHAnsi"/>
          <w:sz w:val="24"/>
          <w:szCs w:val="24"/>
          <w:lang w:val="en-US"/>
        </w:rPr>
        <w:sectPr w:rsidR="005261F2" w:rsidRPr="005261F2">
          <w:pgSz w:w="11906" w:h="16838"/>
          <w:pgMar w:top="1417" w:right="1134" w:bottom="1134" w:left="1134" w:header="708" w:footer="708" w:gutter="0"/>
          <w:cols w:space="708"/>
          <w:docGrid w:linePitch="360"/>
        </w:sectPr>
      </w:pPr>
    </w:p>
    <w:p w:rsidR="005261F2" w:rsidRPr="005261F2" w:rsidRDefault="007F14B1" w:rsidP="005261F2">
      <w:pPr>
        <w:pStyle w:val="Liststycke"/>
        <w:spacing w:after="0" w:line="240" w:lineRule="auto"/>
        <w:ind w:left="0"/>
        <w:jc w:val="both"/>
        <w:rPr>
          <w:rFonts w:asciiTheme="minorHAnsi" w:hAnsiTheme="minorHAnsi" w:cstheme="minorHAnsi"/>
          <w:b/>
          <w:sz w:val="24"/>
          <w:szCs w:val="24"/>
          <w:lang w:val="en-US"/>
        </w:rPr>
      </w:pPr>
      <w:bookmarkStart w:id="11" w:name="_Ref524340036"/>
      <w:r w:rsidRPr="007F14B1">
        <w:rPr>
          <w:rFonts w:asciiTheme="minorHAnsi" w:hAnsiTheme="minorHAnsi" w:cstheme="minorHAnsi"/>
          <w:b/>
          <w:sz w:val="24"/>
          <w:szCs w:val="24"/>
          <w:lang w:val="en-US"/>
        </w:rPr>
        <w:t>Table</w:t>
      </w:r>
      <w:r w:rsidRPr="007F14B1">
        <w:rPr>
          <w:b/>
          <w:lang w:val="en-US"/>
        </w:rPr>
        <w:t xml:space="preserve"> </w:t>
      </w:r>
      <w:r w:rsidRPr="007F14B1">
        <w:rPr>
          <w:rFonts w:asciiTheme="minorHAnsi" w:hAnsiTheme="minorHAnsi"/>
          <w:b/>
          <w:sz w:val="24"/>
          <w:szCs w:val="24"/>
        </w:rPr>
        <w:fldChar w:fldCharType="begin"/>
      </w:r>
      <w:r w:rsidRPr="007F14B1">
        <w:rPr>
          <w:rFonts w:asciiTheme="minorHAnsi" w:hAnsiTheme="minorHAnsi"/>
          <w:b/>
          <w:sz w:val="24"/>
          <w:szCs w:val="24"/>
          <w:lang w:val="en-US"/>
        </w:rPr>
        <w:instrText xml:space="preserve"> SEQ Table \* ARABIC </w:instrText>
      </w:r>
      <w:r w:rsidRPr="007F14B1">
        <w:rPr>
          <w:rFonts w:asciiTheme="minorHAnsi" w:hAnsiTheme="minorHAnsi"/>
          <w:b/>
          <w:sz w:val="24"/>
          <w:szCs w:val="24"/>
        </w:rPr>
        <w:fldChar w:fldCharType="separate"/>
      </w:r>
      <w:r w:rsidR="00747D9C">
        <w:rPr>
          <w:rFonts w:asciiTheme="minorHAnsi" w:hAnsiTheme="minorHAnsi"/>
          <w:b/>
          <w:noProof/>
          <w:sz w:val="24"/>
          <w:szCs w:val="24"/>
          <w:lang w:val="en-US"/>
        </w:rPr>
        <w:t>3</w:t>
      </w:r>
      <w:r w:rsidRPr="007F14B1">
        <w:rPr>
          <w:rFonts w:asciiTheme="minorHAnsi" w:hAnsiTheme="minorHAnsi"/>
          <w:b/>
          <w:sz w:val="24"/>
          <w:szCs w:val="24"/>
        </w:rPr>
        <w:fldChar w:fldCharType="end"/>
      </w:r>
      <w:bookmarkEnd w:id="11"/>
      <w:r w:rsidR="005261F2" w:rsidRPr="005261F2">
        <w:rPr>
          <w:rFonts w:asciiTheme="minorHAnsi" w:hAnsiTheme="minorHAnsi" w:cstheme="minorHAnsi"/>
          <w:b/>
          <w:sz w:val="24"/>
          <w:szCs w:val="24"/>
          <w:lang w:val="en-US"/>
        </w:rPr>
        <w:t xml:space="preserve"> – Combined presentation for tourism industries</w:t>
      </w:r>
    </w:p>
    <w:p w:rsidR="00C07FDE" w:rsidRDefault="005261F2" w:rsidP="00E2278E">
      <w:pPr>
        <w:spacing w:after="120"/>
        <w:jc w:val="both"/>
      </w:pPr>
      <w:r>
        <w:rPr>
          <w:noProof/>
          <w:lang w:eastAsia="sv-SE"/>
        </w:rPr>
        <w:drawing>
          <wp:inline distT="0" distB="0" distL="0" distR="0" wp14:anchorId="1AB523D8" wp14:editId="322CC294">
            <wp:extent cx="9484541" cy="4227716"/>
            <wp:effectExtent l="19050" t="19050" r="21590" b="2095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859" t="9350" r="8510" b="27444"/>
                    <a:stretch/>
                  </pic:blipFill>
                  <pic:spPr bwMode="auto">
                    <a:xfrm>
                      <a:off x="0" y="0"/>
                      <a:ext cx="9488658" cy="42295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B19F5" w:rsidRPr="002C107F" w:rsidRDefault="00F774EB" w:rsidP="00E2278E">
      <w:pPr>
        <w:spacing w:after="120"/>
        <w:jc w:val="both"/>
        <w:rPr>
          <w:sz w:val="20"/>
          <w:szCs w:val="20"/>
          <w:lang w:val="en-US"/>
        </w:rPr>
      </w:pPr>
      <w:r w:rsidRPr="002C107F">
        <w:rPr>
          <w:lang w:val="en-US"/>
        </w:rPr>
        <w:t>[</w:t>
      </w:r>
      <w:r w:rsidR="00DB19F5" w:rsidRPr="002C107F">
        <w:rPr>
          <w:sz w:val="20"/>
          <w:szCs w:val="20"/>
          <w:lang w:val="en-US"/>
        </w:rPr>
        <w:t>Source, UNWTO (2018a)]. For each industry, ’Tsm’ is the component attributable to visitor activity and hence to tourism, so called tourism share, ’Total’ is the total regardless of the portion attributable to tourism consumption</w:t>
      </w:r>
      <w:r w:rsidR="001854BB" w:rsidRPr="002C107F">
        <w:rPr>
          <w:sz w:val="20"/>
          <w:szCs w:val="20"/>
          <w:lang w:val="en-US"/>
        </w:rPr>
        <w:t>.</w:t>
      </w:r>
    </w:p>
    <w:p w:rsidR="005261F2" w:rsidRPr="002C107F" w:rsidRDefault="005261F2" w:rsidP="00F774EB">
      <w:pPr>
        <w:pStyle w:val="Liststycke"/>
        <w:shd w:val="clear" w:color="auto" w:fill="FFFFFF" w:themeFill="background1"/>
        <w:spacing w:after="0" w:line="240" w:lineRule="auto"/>
        <w:ind w:left="0"/>
        <w:rPr>
          <w:rFonts w:asciiTheme="minorHAnsi" w:eastAsiaTheme="minorHAnsi" w:hAnsiTheme="minorHAnsi"/>
          <w:lang w:val="en-US"/>
        </w:rPr>
        <w:sectPr w:rsidR="005261F2" w:rsidRPr="002C107F" w:rsidSect="005261F2">
          <w:pgSz w:w="16838" w:h="11906" w:orient="landscape"/>
          <w:pgMar w:top="1134" w:right="1418" w:bottom="1134" w:left="1134" w:header="709" w:footer="709" w:gutter="0"/>
          <w:cols w:space="708"/>
          <w:docGrid w:linePitch="360"/>
        </w:sectPr>
      </w:pPr>
    </w:p>
    <w:p w:rsidR="00E96C54" w:rsidRPr="00E96C54" w:rsidRDefault="003644FD" w:rsidP="000857FB">
      <w:pPr>
        <w:pStyle w:val="Rubrik2"/>
        <w:numPr>
          <w:ilvl w:val="0"/>
          <w:numId w:val="2"/>
        </w:numPr>
        <w:spacing w:line="276" w:lineRule="auto"/>
        <w:rPr>
          <w:rFonts w:asciiTheme="minorHAnsi" w:hAnsiTheme="minorHAnsi" w:cstheme="minorHAnsi"/>
          <w:sz w:val="24"/>
          <w:szCs w:val="24"/>
          <w:lang w:val="en-US"/>
        </w:rPr>
      </w:pPr>
      <w:bookmarkStart w:id="12" w:name="_Ref521661824"/>
      <w:bookmarkStart w:id="13" w:name="_Toc524965943"/>
      <w:r>
        <w:rPr>
          <w:lang w:val="en-US"/>
        </w:rPr>
        <w:t xml:space="preserve">Tourism related </w:t>
      </w:r>
      <w:r w:rsidR="009F2C89">
        <w:rPr>
          <w:lang w:val="en-US"/>
        </w:rPr>
        <w:t>environmental flows from a production perspective: t</w:t>
      </w:r>
      <w:r w:rsidR="000857FB">
        <w:rPr>
          <w:lang w:val="en-US"/>
        </w:rPr>
        <w:t xml:space="preserve">he </w:t>
      </w:r>
      <w:r w:rsidR="000857FB" w:rsidRPr="00502D17">
        <w:rPr>
          <w:lang w:val="en-US"/>
        </w:rPr>
        <w:t>Italian TSA</w:t>
      </w:r>
      <w:r w:rsidR="000857FB">
        <w:rPr>
          <w:lang w:val="en-US"/>
        </w:rPr>
        <w:t>-SEEA case study</w:t>
      </w:r>
      <w:bookmarkEnd w:id="12"/>
      <w:bookmarkEnd w:id="13"/>
    </w:p>
    <w:p w:rsidR="00816E67" w:rsidRPr="00CD65C0" w:rsidRDefault="00C07FDE" w:rsidP="00CD65C0">
      <w:pPr>
        <w:pStyle w:val="Rubrik3"/>
        <w:jc w:val="both"/>
        <w:rPr>
          <w:rFonts w:asciiTheme="minorHAnsi" w:hAnsiTheme="minorHAnsi"/>
          <w:sz w:val="24"/>
          <w:szCs w:val="24"/>
          <w:lang w:val="en-US"/>
        </w:rPr>
      </w:pPr>
      <w:bookmarkStart w:id="14" w:name="_Toc524965944"/>
      <w:r>
        <w:rPr>
          <w:rFonts w:asciiTheme="minorHAnsi" w:hAnsiTheme="minorHAnsi"/>
          <w:sz w:val="24"/>
          <w:szCs w:val="24"/>
          <w:lang w:val="en-US"/>
        </w:rPr>
        <w:t xml:space="preserve">2.1 </w:t>
      </w:r>
      <w:r w:rsidR="00816E67" w:rsidRPr="00CD65C0">
        <w:rPr>
          <w:rFonts w:asciiTheme="minorHAnsi" w:hAnsiTheme="minorHAnsi"/>
          <w:sz w:val="24"/>
          <w:szCs w:val="24"/>
          <w:lang w:val="en-US"/>
        </w:rPr>
        <w:t xml:space="preserve">Purpose of the case study </w:t>
      </w:r>
      <w:r w:rsidR="00014B2A" w:rsidRPr="00CD65C0">
        <w:rPr>
          <w:rFonts w:asciiTheme="minorHAnsi" w:hAnsiTheme="minorHAnsi"/>
          <w:sz w:val="24"/>
          <w:szCs w:val="24"/>
          <w:lang w:val="en-US"/>
        </w:rPr>
        <w:t>and main output</w:t>
      </w:r>
      <w:bookmarkEnd w:id="14"/>
    </w:p>
    <w:p w:rsidR="005234D4" w:rsidRPr="00CD65C0" w:rsidRDefault="00900C85" w:rsidP="00CD65C0">
      <w:pPr>
        <w:jc w:val="both"/>
        <w:rPr>
          <w:rFonts w:cstheme="minorHAnsi"/>
          <w:sz w:val="24"/>
          <w:szCs w:val="24"/>
          <w:lang w:val="en-US"/>
        </w:rPr>
      </w:pPr>
      <w:r w:rsidRPr="00BC067C">
        <w:rPr>
          <w:rFonts w:cstheme="minorHAnsi"/>
          <w:sz w:val="24"/>
          <w:szCs w:val="24"/>
          <w:lang w:val="en-US"/>
        </w:rPr>
        <w:t>According to the TSA</w:t>
      </w:r>
      <w:r w:rsidRPr="00CD65C0">
        <w:rPr>
          <w:rFonts w:cstheme="minorHAnsi"/>
          <w:sz w:val="24"/>
          <w:szCs w:val="24"/>
          <w:lang w:val="en-US"/>
        </w:rPr>
        <w:t>, in Italy value added generated by tourism-related economic activities in 2015 amounts to almost 90 billion euros, around 6% of total value added, two percentage points higher than the average value for OECD member countries. Internal tourism consumption is almost 150 billion euros in the same year. Around 44% of visitors’ consumption stems from domestic tourism</w:t>
      </w:r>
      <w:r w:rsidR="00B638B3">
        <w:rPr>
          <w:rStyle w:val="Fotnotsreferens"/>
          <w:rFonts w:cstheme="minorHAnsi"/>
          <w:sz w:val="24"/>
          <w:szCs w:val="24"/>
          <w:lang w:val="en-US"/>
        </w:rPr>
        <w:footnoteReference w:id="9"/>
      </w:r>
      <w:r w:rsidRPr="00CD65C0">
        <w:rPr>
          <w:rFonts w:cstheme="minorHAnsi"/>
          <w:sz w:val="24"/>
          <w:szCs w:val="24"/>
          <w:lang w:val="en-US"/>
        </w:rPr>
        <w:t xml:space="preserve"> and around 33% from inbound tourism</w:t>
      </w:r>
      <w:r w:rsidR="00B638B3">
        <w:rPr>
          <w:rStyle w:val="Fotnotsreferens"/>
          <w:rFonts w:cstheme="minorHAnsi"/>
          <w:sz w:val="24"/>
          <w:szCs w:val="24"/>
          <w:lang w:val="en-US"/>
        </w:rPr>
        <w:footnoteReference w:id="10"/>
      </w:r>
      <w:r w:rsidRPr="00CD65C0">
        <w:rPr>
          <w:rFonts w:cstheme="minorHAnsi"/>
          <w:sz w:val="24"/>
          <w:szCs w:val="24"/>
          <w:lang w:val="en-US"/>
        </w:rPr>
        <w:t>, the remaining 23% being represented by other components of tourism consumption</w:t>
      </w:r>
      <w:r w:rsidR="00B638B3" w:rsidRPr="002C7066">
        <w:rPr>
          <w:rStyle w:val="Fotnotsreferens"/>
          <w:rFonts w:cstheme="minorHAnsi"/>
          <w:sz w:val="24"/>
          <w:szCs w:val="24"/>
          <w:lang w:val="en-US"/>
        </w:rPr>
        <w:footnoteReference w:id="11"/>
      </w:r>
      <w:r w:rsidRPr="002C7066">
        <w:rPr>
          <w:rFonts w:cstheme="minorHAnsi"/>
          <w:sz w:val="24"/>
          <w:szCs w:val="24"/>
          <w:lang w:val="en-US"/>
        </w:rPr>
        <w:t>.</w:t>
      </w:r>
      <w:r w:rsidRPr="00CD65C0">
        <w:rPr>
          <w:rFonts w:cstheme="minorHAnsi"/>
          <w:sz w:val="24"/>
          <w:szCs w:val="24"/>
          <w:lang w:val="en-US"/>
        </w:rPr>
        <w:t xml:space="preserve"> As regards the employment in the tourism industries, the overall number of full-time equivalent employees recorded in 2015 comes close </w:t>
      </w:r>
      <w:r w:rsidR="00B638B3">
        <w:rPr>
          <w:rFonts w:cstheme="minorHAnsi"/>
          <w:sz w:val="24"/>
          <w:szCs w:val="24"/>
          <w:lang w:val="en-US"/>
        </w:rPr>
        <w:t xml:space="preserve">to </w:t>
      </w:r>
      <w:r w:rsidRPr="00CD65C0">
        <w:rPr>
          <w:rFonts w:cstheme="minorHAnsi"/>
          <w:sz w:val="24"/>
          <w:szCs w:val="24"/>
          <w:lang w:val="en-US"/>
        </w:rPr>
        <w:t>3.2 million. Italy's balance of inbound tourism expenditure and outbound tourism expenditure is structurally in surplus</w:t>
      </w:r>
      <w:r w:rsidRPr="00CD65C0">
        <w:rPr>
          <w:rStyle w:val="Fotnotsreferens"/>
          <w:rFonts w:cstheme="minorHAnsi"/>
          <w:sz w:val="24"/>
          <w:szCs w:val="24"/>
          <w:lang w:val="en-US"/>
        </w:rPr>
        <w:footnoteReference w:id="12"/>
      </w:r>
      <w:r w:rsidRPr="00CD65C0">
        <w:rPr>
          <w:rFonts w:cstheme="minorHAnsi"/>
          <w:sz w:val="24"/>
          <w:szCs w:val="24"/>
          <w:lang w:val="en-US"/>
        </w:rPr>
        <w:t>.</w:t>
      </w:r>
    </w:p>
    <w:p w:rsidR="00AE0518" w:rsidRDefault="00AE0518" w:rsidP="00CD65C0">
      <w:pPr>
        <w:jc w:val="both"/>
        <w:rPr>
          <w:rFonts w:cstheme="minorHAnsi"/>
          <w:sz w:val="24"/>
          <w:szCs w:val="24"/>
          <w:lang w:val="en-US"/>
        </w:rPr>
      </w:pPr>
    </w:p>
    <w:p w:rsidR="000222C3" w:rsidRPr="00CD65C0" w:rsidRDefault="000222C3" w:rsidP="00CD65C0">
      <w:pPr>
        <w:jc w:val="both"/>
        <w:rPr>
          <w:rFonts w:cstheme="minorHAnsi"/>
          <w:sz w:val="24"/>
          <w:szCs w:val="24"/>
          <w:lang w:val="en-US"/>
        </w:rPr>
      </w:pPr>
      <w:r w:rsidRPr="00CD65C0">
        <w:rPr>
          <w:rFonts w:cstheme="minorHAnsi"/>
          <w:sz w:val="24"/>
          <w:szCs w:val="24"/>
          <w:lang w:val="en-US"/>
        </w:rPr>
        <w:t xml:space="preserve">At the Meeting of the </w:t>
      </w:r>
      <w:r w:rsidR="001854BB">
        <w:rPr>
          <w:rFonts w:cstheme="minorHAnsi"/>
          <w:sz w:val="24"/>
          <w:szCs w:val="24"/>
          <w:lang w:val="en-US"/>
        </w:rPr>
        <w:t xml:space="preserve">UNWTO </w:t>
      </w:r>
      <w:r w:rsidRPr="00CD65C0">
        <w:rPr>
          <w:rFonts w:cstheme="minorHAnsi"/>
          <w:sz w:val="24"/>
          <w:szCs w:val="24"/>
          <w:lang w:val="en-US"/>
        </w:rPr>
        <w:t xml:space="preserve">Working Group of experts on Measuring Sustainable Tourism held in October 2016, Italy, as a member of the Working Group, proposed to develop a case study with the following main objectives: </w:t>
      </w:r>
    </w:p>
    <w:p w:rsidR="00BE5148" w:rsidRPr="00CD65C0" w:rsidRDefault="00BE5148" w:rsidP="00CD65C0">
      <w:pPr>
        <w:pStyle w:val="Liststycke"/>
        <w:numPr>
          <w:ilvl w:val="0"/>
          <w:numId w:val="16"/>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to identify environmental accounts suitable for an environmentally extended touri</w:t>
      </w:r>
      <w:r w:rsidR="00175B44" w:rsidRPr="00CD65C0">
        <w:rPr>
          <w:rFonts w:asciiTheme="minorHAnsi" w:hAnsiTheme="minorHAnsi" w:cstheme="minorHAnsi"/>
          <w:sz w:val="24"/>
          <w:szCs w:val="24"/>
          <w:lang w:val="en-US"/>
        </w:rPr>
        <w:t>sm satellite accounts for Italy;</w:t>
      </w:r>
    </w:p>
    <w:p w:rsidR="00BE5148" w:rsidRPr="00CD65C0" w:rsidRDefault="00BE5148" w:rsidP="00CD65C0">
      <w:pPr>
        <w:pStyle w:val="Liststycke"/>
        <w:numPr>
          <w:ilvl w:val="0"/>
          <w:numId w:val="16"/>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to estimate environmental flows directly generated by tourism industries as well as the tourism shares of the same environmental flows for Italy with reference to the environmental accounts identified above</w:t>
      </w:r>
      <w:r w:rsidR="00175B44" w:rsidRPr="00CD65C0">
        <w:rPr>
          <w:rFonts w:asciiTheme="minorHAnsi" w:hAnsiTheme="minorHAnsi" w:cstheme="minorHAnsi"/>
          <w:sz w:val="24"/>
          <w:szCs w:val="24"/>
          <w:lang w:val="en-US"/>
        </w:rPr>
        <w:t>;</w:t>
      </w:r>
    </w:p>
    <w:p w:rsidR="00BE5148" w:rsidRPr="00CD65C0" w:rsidRDefault="00BE5148" w:rsidP="00CD65C0">
      <w:pPr>
        <w:pStyle w:val="Liststycke"/>
        <w:numPr>
          <w:ilvl w:val="0"/>
          <w:numId w:val="16"/>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to analyze the feasibility of producing regular integrated TSA-SEEA estimates for Italy</w:t>
      </w:r>
      <w:r w:rsidR="00175B44" w:rsidRPr="00CD65C0">
        <w:rPr>
          <w:rFonts w:asciiTheme="minorHAnsi" w:hAnsiTheme="minorHAnsi" w:cstheme="minorHAnsi"/>
          <w:sz w:val="24"/>
          <w:szCs w:val="24"/>
          <w:lang w:val="en-US"/>
        </w:rPr>
        <w:t>;</w:t>
      </w:r>
    </w:p>
    <w:p w:rsidR="00BE5148" w:rsidRPr="00CD65C0" w:rsidRDefault="00BE5148" w:rsidP="00CD65C0">
      <w:pPr>
        <w:pStyle w:val="Liststycke"/>
        <w:numPr>
          <w:ilvl w:val="0"/>
          <w:numId w:val="16"/>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to assess possible extensions to environmental variables not covered in the pilot study</w:t>
      </w:r>
      <w:r w:rsidR="00817ECF" w:rsidRPr="00CD65C0">
        <w:rPr>
          <w:rStyle w:val="Fotnotsreferens"/>
          <w:rFonts w:cstheme="minorHAnsi"/>
          <w:sz w:val="24"/>
          <w:szCs w:val="24"/>
          <w:lang w:val="en-US"/>
        </w:rPr>
        <w:footnoteReference w:id="13"/>
      </w:r>
      <w:r w:rsidR="00175B44" w:rsidRPr="00CD65C0">
        <w:rPr>
          <w:rFonts w:asciiTheme="minorHAnsi" w:hAnsiTheme="minorHAnsi" w:cstheme="minorHAnsi"/>
          <w:sz w:val="24"/>
          <w:szCs w:val="24"/>
          <w:lang w:val="en-US"/>
        </w:rPr>
        <w:t>.</w:t>
      </w:r>
    </w:p>
    <w:p w:rsidR="00DE43D6" w:rsidRPr="00CD65C0" w:rsidRDefault="00DE43D6" w:rsidP="00CD65C0">
      <w:pPr>
        <w:jc w:val="both"/>
        <w:rPr>
          <w:rFonts w:cstheme="minorHAnsi"/>
          <w:sz w:val="24"/>
          <w:szCs w:val="24"/>
          <w:lang w:val="en-US"/>
        </w:rPr>
      </w:pPr>
      <w:r w:rsidRPr="00CD65C0">
        <w:rPr>
          <w:rFonts w:cstheme="minorHAnsi"/>
          <w:sz w:val="24"/>
          <w:szCs w:val="24"/>
          <w:lang w:val="en-US"/>
        </w:rPr>
        <w:t xml:space="preserve">As concerns objective a) one of the key requisites for developing the integrated core accounts of the Technical Note (where environmental flows following the SEEA are </w:t>
      </w:r>
      <w:r w:rsidR="00660843">
        <w:rPr>
          <w:rFonts w:cstheme="minorHAnsi"/>
          <w:sz w:val="24"/>
          <w:szCs w:val="24"/>
          <w:lang w:val="en-US"/>
        </w:rPr>
        <w:t xml:space="preserve">broken down by </w:t>
      </w:r>
      <w:r w:rsidRPr="00CD65C0">
        <w:rPr>
          <w:rFonts w:cstheme="minorHAnsi"/>
          <w:sz w:val="24"/>
          <w:szCs w:val="24"/>
          <w:lang w:val="en-US"/>
        </w:rPr>
        <w:t xml:space="preserve">TSA industries) is the availability of environmental accounts by NACE. As a Member of Eu Italy regularly produces data for five environmental accounts covered by Eu Regulation on European environmental economic accounts (Reg. 691/2011 and Reg. 538/2014 amending Reg. 691/2011): air emission accounts, environmentally related taxes by economic activity, economy-wide material flow accounts, environmental protection expenditure accounts, physical energy flow accounts; </w:t>
      </w:r>
      <w:r w:rsidR="00175B44" w:rsidRPr="00CD65C0">
        <w:rPr>
          <w:rFonts w:cstheme="minorHAnsi"/>
          <w:sz w:val="24"/>
          <w:szCs w:val="24"/>
          <w:lang w:val="en-US"/>
        </w:rPr>
        <w:t xml:space="preserve">in </w:t>
      </w:r>
      <w:r w:rsidRPr="00CD65C0">
        <w:rPr>
          <w:rFonts w:cstheme="minorHAnsi"/>
          <w:sz w:val="24"/>
          <w:szCs w:val="24"/>
          <w:lang w:val="en-US"/>
        </w:rPr>
        <w:t xml:space="preserve">addition environmental goods and services sector accounts will be finalized by the end of 2018. </w:t>
      </w:r>
    </w:p>
    <w:p w:rsidR="00DE43D6" w:rsidRPr="00CD65C0" w:rsidRDefault="00DE43D6" w:rsidP="00CD65C0">
      <w:pPr>
        <w:jc w:val="both"/>
        <w:rPr>
          <w:rFonts w:cstheme="minorHAnsi"/>
          <w:sz w:val="24"/>
          <w:szCs w:val="24"/>
          <w:lang w:val="en-US"/>
        </w:rPr>
      </w:pPr>
      <w:r w:rsidRPr="00CD65C0">
        <w:rPr>
          <w:rFonts w:cstheme="minorHAnsi"/>
          <w:sz w:val="24"/>
          <w:szCs w:val="24"/>
          <w:lang w:val="en-US"/>
        </w:rPr>
        <w:t>The availability of data broken down by NACE makes air emission accounts, intermediate consumption of energy products in physical terms and environmentally related taxes the best candidates for inclusion in an environmentally extended tourism satellite accounts for Italy in the short term. For the first pilot implementation of a TSA-SEEA for Italy, air emission accounts and the intermediate consumption of energy products in physical terms, were selected.</w:t>
      </w:r>
    </w:p>
    <w:p w:rsidR="00AE0518" w:rsidRDefault="00AE0518" w:rsidP="00CD65C0">
      <w:pPr>
        <w:jc w:val="both"/>
        <w:rPr>
          <w:rFonts w:cstheme="minorHAnsi"/>
          <w:sz w:val="24"/>
          <w:szCs w:val="24"/>
          <w:lang w:val="en-US"/>
        </w:rPr>
      </w:pPr>
    </w:p>
    <w:p w:rsidR="00482E44" w:rsidRPr="00CD65C0" w:rsidRDefault="00DE43D6" w:rsidP="00E2278E">
      <w:pPr>
        <w:spacing w:after="200" w:line="276" w:lineRule="auto"/>
        <w:rPr>
          <w:rFonts w:cstheme="minorHAnsi"/>
          <w:sz w:val="24"/>
          <w:szCs w:val="24"/>
          <w:lang w:val="en-US"/>
        </w:rPr>
      </w:pPr>
      <w:r w:rsidRPr="00CD65C0">
        <w:rPr>
          <w:rFonts w:cstheme="minorHAnsi"/>
          <w:sz w:val="24"/>
          <w:szCs w:val="24"/>
          <w:lang w:val="en-US"/>
        </w:rPr>
        <w:t xml:space="preserve">As concerns objective b), </w:t>
      </w:r>
      <w:r w:rsidR="00482E44" w:rsidRPr="00CD65C0">
        <w:rPr>
          <w:rFonts w:cstheme="minorHAnsi"/>
          <w:sz w:val="24"/>
          <w:szCs w:val="24"/>
          <w:lang w:val="en-US"/>
        </w:rPr>
        <w:t xml:space="preserve">Annex I </w:t>
      </w:r>
      <w:r w:rsidR="00175B44" w:rsidRPr="00CD65C0">
        <w:rPr>
          <w:rFonts w:cstheme="minorHAnsi"/>
          <w:sz w:val="24"/>
          <w:szCs w:val="24"/>
          <w:lang w:val="en-US"/>
        </w:rPr>
        <w:t xml:space="preserve">presents </w:t>
      </w:r>
      <w:r w:rsidR="00482E44" w:rsidRPr="00CD65C0">
        <w:rPr>
          <w:rFonts w:cstheme="minorHAnsi"/>
          <w:sz w:val="24"/>
          <w:szCs w:val="24"/>
          <w:lang w:val="en-US"/>
        </w:rPr>
        <w:t xml:space="preserve">the main </w:t>
      </w:r>
      <w:r w:rsidR="00816E67" w:rsidRPr="00CD65C0">
        <w:rPr>
          <w:rFonts w:cstheme="minorHAnsi"/>
          <w:sz w:val="24"/>
          <w:szCs w:val="24"/>
          <w:lang w:val="en-US"/>
        </w:rPr>
        <w:t>output of the pilot study, i.e. a TSA-S</w:t>
      </w:r>
      <w:r w:rsidR="00482E44" w:rsidRPr="00CD65C0">
        <w:rPr>
          <w:rFonts w:cstheme="minorHAnsi"/>
          <w:sz w:val="24"/>
          <w:szCs w:val="24"/>
          <w:lang w:val="en-US"/>
        </w:rPr>
        <w:t xml:space="preserve">EEA Table 6, </w:t>
      </w:r>
      <w:r w:rsidR="0039451D">
        <w:rPr>
          <w:rFonts w:cstheme="minorHAnsi"/>
          <w:sz w:val="24"/>
          <w:szCs w:val="24"/>
          <w:lang w:val="en-US"/>
        </w:rPr>
        <w:t>namely a</w:t>
      </w:r>
      <w:r w:rsidR="00482E44" w:rsidRPr="00CD65C0">
        <w:rPr>
          <w:rFonts w:cstheme="minorHAnsi"/>
          <w:sz w:val="24"/>
          <w:szCs w:val="24"/>
          <w:lang w:val="en-US"/>
        </w:rPr>
        <w:t xml:space="preserve"> standard TSA Table 6 ‘Domestic supply and internal tourism consumption by products’ combined with four additional rows for environmental flows: </w:t>
      </w:r>
    </w:p>
    <w:p w:rsidR="00482E44" w:rsidRPr="00CD65C0" w:rsidRDefault="00482E44" w:rsidP="00E2278E">
      <w:pPr>
        <w:ind w:left="709" w:hanging="709"/>
        <w:jc w:val="both"/>
        <w:rPr>
          <w:rFonts w:cstheme="minorHAnsi"/>
          <w:sz w:val="24"/>
          <w:szCs w:val="24"/>
          <w:lang w:val="en-US"/>
        </w:rPr>
      </w:pPr>
      <w:r w:rsidRPr="00CD65C0">
        <w:rPr>
          <w:rFonts w:cstheme="minorHAnsi"/>
          <w:sz w:val="24"/>
          <w:szCs w:val="24"/>
          <w:lang w:val="en-US"/>
        </w:rPr>
        <w:t>•</w:t>
      </w:r>
      <w:r w:rsidRPr="00CD65C0">
        <w:rPr>
          <w:rFonts w:cstheme="minorHAnsi"/>
          <w:sz w:val="24"/>
          <w:szCs w:val="24"/>
          <w:lang w:val="en-US"/>
        </w:rPr>
        <w:tab/>
        <w:t>air emissions– 3 environmental themes: greenhouse gases (GHG), acidification and ground level ozone</w:t>
      </w:r>
      <w:r w:rsidR="0046138A" w:rsidRPr="00CD65C0">
        <w:rPr>
          <w:rStyle w:val="Fotnotsreferens"/>
          <w:rFonts w:cstheme="minorHAnsi"/>
          <w:sz w:val="24"/>
          <w:szCs w:val="24"/>
          <w:lang w:val="en-US"/>
        </w:rPr>
        <w:footnoteReference w:id="14"/>
      </w:r>
    </w:p>
    <w:p w:rsidR="00482E44" w:rsidRPr="00CD65C0" w:rsidRDefault="00482E44" w:rsidP="00CD65C0">
      <w:pPr>
        <w:jc w:val="both"/>
        <w:rPr>
          <w:rFonts w:cstheme="minorHAnsi"/>
          <w:sz w:val="24"/>
          <w:szCs w:val="24"/>
          <w:lang w:val="en-US"/>
        </w:rPr>
      </w:pPr>
      <w:r w:rsidRPr="00CD65C0">
        <w:rPr>
          <w:rFonts w:cstheme="minorHAnsi"/>
          <w:sz w:val="24"/>
          <w:szCs w:val="24"/>
          <w:lang w:val="en-US"/>
        </w:rPr>
        <w:t>•</w:t>
      </w:r>
      <w:r w:rsidRPr="00CD65C0">
        <w:rPr>
          <w:rFonts w:cstheme="minorHAnsi"/>
          <w:sz w:val="24"/>
          <w:szCs w:val="24"/>
          <w:lang w:val="en-US"/>
        </w:rPr>
        <w:tab/>
        <w:t>energy – total intermediate consumption of energy products</w:t>
      </w:r>
    </w:p>
    <w:p w:rsidR="0066614C" w:rsidRPr="00CD65C0" w:rsidRDefault="0066614C" w:rsidP="00CD65C0">
      <w:pPr>
        <w:jc w:val="both"/>
        <w:rPr>
          <w:rFonts w:cstheme="minorHAnsi"/>
          <w:sz w:val="24"/>
          <w:szCs w:val="24"/>
          <w:lang w:val="en-US"/>
        </w:rPr>
      </w:pPr>
    </w:p>
    <w:p w:rsidR="0066614C" w:rsidRDefault="0066614C" w:rsidP="00CD65C0">
      <w:pPr>
        <w:jc w:val="both"/>
        <w:rPr>
          <w:rFonts w:cstheme="minorHAnsi"/>
          <w:sz w:val="24"/>
          <w:szCs w:val="24"/>
          <w:lang w:val="en-US"/>
        </w:rPr>
      </w:pPr>
      <w:r w:rsidRPr="00CD65C0">
        <w:rPr>
          <w:rFonts w:cstheme="minorHAnsi"/>
          <w:sz w:val="24"/>
          <w:szCs w:val="24"/>
          <w:lang w:val="en-US"/>
        </w:rPr>
        <w:t>A simplified scheme of the TSA-</w:t>
      </w:r>
      <w:r w:rsidR="00436D91">
        <w:rPr>
          <w:rFonts w:cstheme="minorHAnsi"/>
          <w:sz w:val="24"/>
          <w:szCs w:val="24"/>
          <w:lang w:val="en-US"/>
        </w:rPr>
        <w:t xml:space="preserve">SEEA Table </w:t>
      </w:r>
      <w:r w:rsidR="009B0706">
        <w:rPr>
          <w:rFonts w:cstheme="minorHAnsi"/>
          <w:sz w:val="24"/>
          <w:szCs w:val="24"/>
          <w:lang w:val="en-US"/>
        </w:rPr>
        <w:t xml:space="preserve">6 </w:t>
      </w:r>
      <w:r w:rsidR="00436D91">
        <w:rPr>
          <w:rFonts w:cstheme="minorHAnsi"/>
          <w:sz w:val="24"/>
          <w:szCs w:val="24"/>
          <w:lang w:val="en-US"/>
        </w:rPr>
        <w:t xml:space="preserve">is presented </w:t>
      </w:r>
      <w:r w:rsidR="00F774EB">
        <w:rPr>
          <w:rFonts w:cstheme="minorHAnsi"/>
          <w:sz w:val="24"/>
          <w:szCs w:val="24"/>
          <w:lang w:val="en-US"/>
        </w:rPr>
        <w:t xml:space="preserve">in </w:t>
      </w:r>
      <w:r w:rsidR="00F774EB">
        <w:rPr>
          <w:rFonts w:cstheme="minorHAnsi"/>
          <w:sz w:val="24"/>
          <w:szCs w:val="24"/>
          <w:lang w:val="en-US"/>
        </w:rPr>
        <w:fldChar w:fldCharType="begin"/>
      </w:r>
      <w:r w:rsidR="00F774EB">
        <w:rPr>
          <w:rFonts w:cstheme="minorHAnsi"/>
          <w:sz w:val="24"/>
          <w:szCs w:val="24"/>
          <w:lang w:val="en-US"/>
        </w:rPr>
        <w:instrText xml:space="preserve"> REF _Ref524346869 \h </w:instrText>
      </w:r>
      <w:r w:rsidR="00F774EB">
        <w:rPr>
          <w:rFonts w:cstheme="minorHAnsi"/>
          <w:sz w:val="24"/>
          <w:szCs w:val="24"/>
          <w:lang w:val="en-US"/>
        </w:rPr>
      </w:r>
      <w:r w:rsidR="00F774EB">
        <w:rPr>
          <w:rFonts w:cstheme="minorHAnsi"/>
          <w:sz w:val="24"/>
          <w:szCs w:val="24"/>
          <w:lang w:val="en-US"/>
        </w:rPr>
        <w:fldChar w:fldCharType="separate"/>
      </w:r>
      <w:r w:rsidR="00747D9C" w:rsidRPr="00F76154">
        <w:rPr>
          <w:sz w:val="24"/>
          <w:szCs w:val="24"/>
          <w:lang w:val="en-US"/>
        </w:rPr>
        <w:t xml:space="preserve">Table </w:t>
      </w:r>
      <w:r w:rsidR="00747D9C">
        <w:rPr>
          <w:noProof/>
          <w:sz w:val="24"/>
          <w:szCs w:val="24"/>
          <w:lang w:val="en-US"/>
        </w:rPr>
        <w:t>4</w:t>
      </w:r>
      <w:r w:rsidR="00F774EB">
        <w:rPr>
          <w:rFonts w:cstheme="minorHAnsi"/>
          <w:sz w:val="24"/>
          <w:szCs w:val="24"/>
          <w:lang w:val="en-US"/>
        </w:rPr>
        <w:fldChar w:fldCharType="end"/>
      </w:r>
      <w:r w:rsidR="00AE0518">
        <w:rPr>
          <w:rFonts w:cstheme="minorHAnsi"/>
          <w:sz w:val="24"/>
          <w:szCs w:val="24"/>
          <w:lang w:val="en-US"/>
        </w:rPr>
        <w:t>.</w:t>
      </w:r>
    </w:p>
    <w:p w:rsidR="00AE0518" w:rsidRDefault="00AE0518" w:rsidP="00AE0518">
      <w:pPr>
        <w:jc w:val="both"/>
        <w:rPr>
          <w:rFonts w:cstheme="minorHAnsi"/>
          <w:sz w:val="24"/>
          <w:szCs w:val="24"/>
          <w:lang w:val="en-US"/>
        </w:rPr>
      </w:pPr>
    </w:p>
    <w:p w:rsidR="00AE0518" w:rsidRPr="00CD65C0" w:rsidRDefault="00AE0518" w:rsidP="00AE0518">
      <w:pPr>
        <w:jc w:val="both"/>
        <w:rPr>
          <w:rFonts w:cstheme="minorHAnsi"/>
          <w:sz w:val="24"/>
          <w:szCs w:val="24"/>
          <w:lang w:val="en-US"/>
        </w:rPr>
      </w:pPr>
      <w:r>
        <w:rPr>
          <w:rFonts w:cstheme="minorHAnsi"/>
          <w:sz w:val="24"/>
          <w:szCs w:val="24"/>
          <w:lang w:val="en-US"/>
        </w:rPr>
        <w:t>Possible uses of the TSA-SEEA d</w:t>
      </w:r>
      <w:r w:rsidRPr="00CD65C0">
        <w:rPr>
          <w:rFonts w:cstheme="minorHAnsi"/>
          <w:sz w:val="24"/>
          <w:szCs w:val="24"/>
          <w:lang w:val="en-US"/>
        </w:rPr>
        <w:t xml:space="preserve">ata </w:t>
      </w:r>
      <w:r>
        <w:rPr>
          <w:rFonts w:cstheme="minorHAnsi"/>
          <w:sz w:val="24"/>
          <w:szCs w:val="24"/>
          <w:lang w:val="en-US"/>
        </w:rPr>
        <w:t>are</w:t>
      </w:r>
      <w:r w:rsidRPr="00CD65C0">
        <w:rPr>
          <w:rFonts w:cstheme="minorHAnsi"/>
          <w:sz w:val="24"/>
          <w:szCs w:val="24"/>
          <w:lang w:val="en-US"/>
        </w:rPr>
        <w:t xml:space="preserve">: </w:t>
      </w:r>
    </w:p>
    <w:p w:rsidR="00AE0518" w:rsidRPr="00CD65C0" w:rsidRDefault="00AE0518" w:rsidP="00AE0518">
      <w:pPr>
        <w:jc w:val="both"/>
        <w:rPr>
          <w:rFonts w:cstheme="minorHAnsi"/>
          <w:sz w:val="24"/>
          <w:szCs w:val="24"/>
          <w:lang w:val="en-US"/>
        </w:rPr>
      </w:pPr>
      <w:r w:rsidRPr="00CD65C0">
        <w:rPr>
          <w:rFonts w:cstheme="minorHAnsi"/>
          <w:sz w:val="24"/>
          <w:szCs w:val="24"/>
          <w:lang w:val="en-US"/>
        </w:rPr>
        <w:t>•</w:t>
      </w:r>
      <w:r w:rsidRPr="00CD65C0">
        <w:rPr>
          <w:rFonts w:cstheme="minorHAnsi"/>
          <w:sz w:val="24"/>
          <w:szCs w:val="24"/>
          <w:lang w:val="en-US"/>
        </w:rPr>
        <w:tab/>
      </w:r>
      <w:r w:rsidR="00FE69F9">
        <w:rPr>
          <w:rFonts w:cstheme="minorHAnsi"/>
          <w:sz w:val="24"/>
          <w:szCs w:val="24"/>
          <w:lang w:val="en-US"/>
        </w:rPr>
        <w:t xml:space="preserve">to </w:t>
      </w:r>
      <w:r w:rsidRPr="00CD65C0">
        <w:rPr>
          <w:rFonts w:cstheme="minorHAnsi"/>
          <w:sz w:val="24"/>
          <w:szCs w:val="24"/>
          <w:lang w:val="en-US"/>
        </w:rPr>
        <w:t>compare the emission and energy intensity of tourism industries (individually or as a whole) with the corresponding intensities for other industries or for the total production activities in the economy</w:t>
      </w:r>
    </w:p>
    <w:p w:rsidR="00AE0518" w:rsidRPr="00CD65C0" w:rsidRDefault="00AE0518" w:rsidP="00AE0518">
      <w:pPr>
        <w:jc w:val="both"/>
        <w:rPr>
          <w:rFonts w:cstheme="minorHAnsi"/>
          <w:sz w:val="24"/>
          <w:szCs w:val="24"/>
          <w:lang w:val="en-US"/>
        </w:rPr>
      </w:pPr>
      <w:r w:rsidRPr="00CD65C0">
        <w:rPr>
          <w:rFonts w:cstheme="minorHAnsi"/>
          <w:sz w:val="24"/>
          <w:szCs w:val="24"/>
          <w:lang w:val="en-US"/>
        </w:rPr>
        <w:t>•</w:t>
      </w:r>
      <w:r w:rsidRPr="00CD65C0">
        <w:rPr>
          <w:rFonts w:cstheme="minorHAnsi"/>
          <w:sz w:val="24"/>
          <w:szCs w:val="24"/>
          <w:lang w:val="en-US"/>
        </w:rPr>
        <w:tab/>
      </w:r>
      <w:r w:rsidR="00FE69F9">
        <w:rPr>
          <w:rFonts w:cstheme="minorHAnsi"/>
          <w:sz w:val="24"/>
          <w:szCs w:val="24"/>
          <w:lang w:val="en-US"/>
        </w:rPr>
        <w:t xml:space="preserve">to </w:t>
      </w:r>
      <w:r w:rsidRPr="00CD65C0">
        <w:rPr>
          <w:rFonts w:cstheme="minorHAnsi"/>
          <w:sz w:val="24"/>
          <w:szCs w:val="24"/>
          <w:lang w:val="en-US"/>
        </w:rPr>
        <w:t xml:space="preserve">derive environmental profiles (for individual industries or grouping of) showing the </w:t>
      </w:r>
      <w:r w:rsidR="00812C7E">
        <w:rPr>
          <w:rFonts w:cstheme="minorHAnsi"/>
          <w:sz w:val="24"/>
          <w:szCs w:val="24"/>
          <w:lang w:val="en-US"/>
        </w:rPr>
        <w:t>percentage</w:t>
      </w:r>
      <w:r w:rsidRPr="00CD65C0">
        <w:rPr>
          <w:rFonts w:cstheme="minorHAnsi"/>
          <w:sz w:val="24"/>
          <w:szCs w:val="24"/>
          <w:lang w:val="en-US"/>
        </w:rPr>
        <w:t xml:space="preserve"> contribution to the generation of economic output side by side to the </w:t>
      </w:r>
      <w:r w:rsidR="00812C7E">
        <w:rPr>
          <w:rFonts w:cstheme="minorHAnsi"/>
          <w:sz w:val="24"/>
          <w:szCs w:val="24"/>
          <w:lang w:val="en-US"/>
        </w:rPr>
        <w:t xml:space="preserve">percentage </w:t>
      </w:r>
      <w:r w:rsidRPr="00CD65C0">
        <w:rPr>
          <w:rFonts w:cstheme="minorHAnsi"/>
          <w:sz w:val="24"/>
          <w:szCs w:val="24"/>
          <w:lang w:val="en-US"/>
        </w:rPr>
        <w:t xml:space="preserve">contribution to the generation of environmental pressures, in this case air emissions and energy use </w:t>
      </w:r>
    </w:p>
    <w:p w:rsidR="00FE69F9" w:rsidRPr="00CD65C0" w:rsidRDefault="00FE69F9" w:rsidP="00FE69F9">
      <w:pPr>
        <w:jc w:val="both"/>
        <w:rPr>
          <w:rFonts w:cstheme="minorHAnsi"/>
          <w:sz w:val="24"/>
          <w:szCs w:val="24"/>
          <w:lang w:val="en-US"/>
        </w:rPr>
      </w:pPr>
      <w:r w:rsidRPr="00CD65C0">
        <w:rPr>
          <w:rFonts w:cstheme="minorHAnsi"/>
          <w:sz w:val="24"/>
          <w:szCs w:val="24"/>
          <w:lang w:val="en-US"/>
        </w:rPr>
        <w:t>•</w:t>
      </w:r>
      <w:r w:rsidRPr="00CD65C0">
        <w:rPr>
          <w:rFonts w:cstheme="minorHAnsi"/>
          <w:sz w:val="24"/>
          <w:szCs w:val="24"/>
          <w:lang w:val="en-US"/>
        </w:rPr>
        <w:tab/>
      </w:r>
      <w:r>
        <w:rPr>
          <w:rFonts w:cstheme="minorHAnsi"/>
          <w:sz w:val="24"/>
          <w:szCs w:val="24"/>
          <w:lang w:val="en-US"/>
        </w:rPr>
        <w:t xml:space="preserve">to </w:t>
      </w:r>
      <w:r w:rsidRPr="00CD65C0">
        <w:rPr>
          <w:rFonts w:cstheme="minorHAnsi"/>
          <w:sz w:val="24"/>
          <w:szCs w:val="24"/>
          <w:lang w:val="en-US"/>
        </w:rPr>
        <w:t xml:space="preserve">calculate the breakdown by tourism industries of economic and </w:t>
      </w:r>
      <w:r>
        <w:rPr>
          <w:rFonts w:cstheme="minorHAnsi"/>
          <w:sz w:val="24"/>
          <w:szCs w:val="24"/>
          <w:lang w:val="en-US"/>
        </w:rPr>
        <w:t xml:space="preserve">related environmental variables. </w:t>
      </w:r>
    </w:p>
    <w:p w:rsidR="00AE0518" w:rsidRDefault="00AE0518" w:rsidP="00CD65C0">
      <w:pPr>
        <w:jc w:val="both"/>
        <w:rPr>
          <w:rFonts w:cstheme="minorHAnsi"/>
          <w:sz w:val="24"/>
          <w:szCs w:val="24"/>
          <w:lang w:val="en-US"/>
        </w:rPr>
      </w:pPr>
    </w:p>
    <w:p w:rsidR="001725B0" w:rsidRDefault="001725B0" w:rsidP="001725B0">
      <w:pPr>
        <w:spacing w:after="200" w:line="276" w:lineRule="auto"/>
        <w:rPr>
          <w:rFonts w:cstheme="minorHAnsi"/>
          <w:sz w:val="24"/>
          <w:szCs w:val="24"/>
          <w:lang w:val="en-US"/>
        </w:rPr>
        <w:sectPr w:rsidR="001725B0" w:rsidSect="005261F2">
          <w:pgSz w:w="11906" w:h="16838"/>
          <w:pgMar w:top="1418" w:right="1134" w:bottom="1134" w:left="1134" w:header="709" w:footer="709" w:gutter="0"/>
          <w:cols w:space="708"/>
          <w:docGrid w:linePitch="360"/>
        </w:sectPr>
      </w:pPr>
      <w:r>
        <w:rPr>
          <w:rFonts w:cstheme="minorHAnsi"/>
          <w:sz w:val="24"/>
          <w:szCs w:val="24"/>
          <w:lang w:val="en-US"/>
        </w:rPr>
        <w:br w:type="page"/>
      </w:r>
    </w:p>
    <w:p w:rsidR="001725B0" w:rsidRPr="00F76154" w:rsidRDefault="00F76154" w:rsidP="00F76154">
      <w:pPr>
        <w:pStyle w:val="Beskrivning"/>
        <w:rPr>
          <w:rFonts w:asciiTheme="minorHAnsi" w:hAnsiTheme="minorHAnsi"/>
          <w:noProof/>
          <w:sz w:val="24"/>
          <w:szCs w:val="24"/>
          <w:lang w:val="en-US"/>
        </w:rPr>
      </w:pPr>
      <w:bookmarkStart w:id="15" w:name="_Ref524346869"/>
      <w:r w:rsidRPr="00F76154">
        <w:rPr>
          <w:rFonts w:asciiTheme="minorHAnsi" w:hAnsiTheme="minorHAnsi"/>
          <w:sz w:val="24"/>
          <w:szCs w:val="24"/>
          <w:lang w:val="en-US"/>
        </w:rPr>
        <w:t xml:space="preserve">Table </w:t>
      </w:r>
      <w:r w:rsidRPr="00F76154">
        <w:rPr>
          <w:rFonts w:asciiTheme="minorHAnsi" w:hAnsiTheme="minorHAnsi"/>
          <w:sz w:val="24"/>
          <w:szCs w:val="24"/>
        </w:rPr>
        <w:fldChar w:fldCharType="begin"/>
      </w:r>
      <w:r w:rsidRPr="00F76154">
        <w:rPr>
          <w:rFonts w:asciiTheme="minorHAnsi" w:hAnsiTheme="minorHAnsi"/>
          <w:sz w:val="24"/>
          <w:szCs w:val="24"/>
          <w:lang w:val="en-US"/>
        </w:rPr>
        <w:instrText xml:space="preserve"> SEQ Table \* ARABIC </w:instrText>
      </w:r>
      <w:r w:rsidRPr="00F76154">
        <w:rPr>
          <w:rFonts w:asciiTheme="minorHAnsi" w:hAnsiTheme="minorHAnsi"/>
          <w:sz w:val="24"/>
          <w:szCs w:val="24"/>
        </w:rPr>
        <w:fldChar w:fldCharType="separate"/>
      </w:r>
      <w:r w:rsidR="00747D9C">
        <w:rPr>
          <w:rFonts w:asciiTheme="minorHAnsi" w:hAnsiTheme="minorHAnsi"/>
          <w:noProof/>
          <w:sz w:val="24"/>
          <w:szCs w:val="24"/>
          <w:lang w:val="en-US"/>
        </w:rPr>
        <w:t>4</w:t>
      </w:r>
      <w:r w:rsidRPr="00F76154">
        <w:rPr>
          <w:rFonts w:asciiTheme="minorHAnsi" w:hAnsiTheme="minorHAnsi"/>
          <w:sz w:val="24"/>
          <w:szCs w:val="24"/>
        </w:rPr>
        <w:fldChar w:fldCharType="end"/>
      </w:r>
      <w:bookmarkEnd w:id="15"/>
      <w:r w:rsidRPr="00F76154">
        <w:rPr>
          <w:rFonts w:asciiTheme="minorHAnsi" w:hAnsiTheme="minorHAnsi"/>
          <w:sz w:val="24"/>
          <w:szCs w:val="24"/>
          <w:lang w:val="en-US"/>
        </w:rPr>
        <w:t xml:space="preserve"> – </w:t>
      </w:r>
      <w:r w:rsidR="00F774EB">
        <w:rPr>
          <w:rFonts w:asciiTheme="minorHAnsi" w:hAnsiTheme="minorHAnsi"/>
          <w:sz w:val="24"/>
          <w:szCs w:val="24"/>
          <w:lang w:val="en-US"/>
        </w:rPr>
        <w:t>S</w:t>
      </w:r>
      <w:r w:rsidR="00F774EB" w:rsidRPr="00F774EB">
        <w:rPr>
          <w:rFonts w:asciiTheme="minorHAnsi" w:hAnsiTheme="minorHAnsi"/>
          <w:sz w:val="24"/>
          <w:szCs w:val="24"/>
          <w:lang w:val="en-US"/>
        </w:rPr>
        <w:t>implified scheme of the TSA-SEEA Table 6</w:t>
      </w:r>
    </w:p>
    <w:p w:rsidR="00093BA6" w:rsidRDefault="00E2278E" w:rsidP="00E2278E">
      <w:pPr>
        <w:jc w:val="center"/>
        <w:rPr>
          <w:rFonts w:cstheme="minorHAnsi"/>
          <w:sz w:val="24"/>
          <w:szCs w:val="24"/>
          <w:lang w:val="en-US"/>
        </w:rPr>
      </w:pPr>
      <w:r w:rsidRPr="00E2278E">
        <w:rPr>
          <w:noProof/>
          <w:lang w:eastAsia="sv-SE"/>
        </w:rPr>
        <w:drawing>
          <wp:inline distT="0" distB="0" distL="0" distR="0" wp14:anchorId="7A316893" wp14:editId="5485D42D">
            <wp:extent cx="8984974" cy="5631150"/>
            <wp:effectExtent l="19050" t="19050" r="26035" b="273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4153" cy="5630635"/>
                    </a:xfrm>
                    <a:prstGeom prst="rect">
                      <a:avLst/>
                    </a:prstGeom>
                    <a:noFill/>
                    <a:ln>
                      <a:solidFill>
                        <a:schemeClr val="accent1"/>
                      </a:solidFill>
                    </a:ln>
                  </pic:spPr>
                </pic:pic>
              </a:graphicData>
            </a:graphic>
          </wp:inline>
        </w:drawing>
      </w:r>
    </w:p>
    <w:p w:rsidR="00093BA6" w:rsidRPr="00093BA6" w:rsidRDefault="00093BA6" w:rsidP="00F76154">
      <w:pPr>
        <w:rPr>
          <w:rFonts w:cstheme="minorHAnsi"/>
          <w:lang w:val="en-US"/>
        </w:rPr>
        <w:sectPr w:rsidR="00093BA6" w:rsidRPr="00093BA6" w:rsidSect="001725B0">
          <w:pgSz w:w="16838" w:h="11906" w:orient="landscape"/>
          <w:pgMar w:top="1134" w:right="1418" w:bottom="1134" w:left="1134" w:header="709" w:footer="709" w:gutter="0"/>
          <w:cols w:space="708"/>
          <w:docGrid w:linePitch="360"/>
        </w:sectPr>
      </w:pPr>
      <w:r w:rsidRPr="00093BA6">
        <w:rPr>
          <w:rFonts w:cstheme="minorHAnsi"/>
          <w:lang w:val="en-US"/>
        </w:rPr>
        <w:t>*</w:t>
      </w:r>
      <w:r w:rsidR="00F76154">
        <w:rPr>
          <w:rFonts w:cstheme="minorHAnsi"/>
          <w:lang w:val="en-US"/>
        </w:rPr>
        <w:t>O = Output (corresponds to “Total” reported in the previous Tables</w:t>
      </w:r>
      <w:r w:rsidR="009B098B">
        <w:rPr>
          <w:rFonts w:cstheme="minorHAnsi"/>
          <w:lang w:val="en-US"/>
        </w:rPr>
        <w:t xml:space="preserve"> 1-3</w:t>
      </w:r>
      <w:r w:rsidR="00F76154">
        <w:rPr>
          <w:rFonts w:cstheme="minorHAnsi"/>
          <w:lang w:val="en-US"/>
        </w:rPr>
        <w:t>); TS = Tourism Share (</w:t>
      </w:r>
      <w:r w:rsidR="00344D57">
        <w:rPr>
          <w:rFonts w:cstheme="minorHAnsi"/>
          <w:lang w:val="en-US"/>
        </w:rPr>
        <w:t>it corresponds to “Tsm” reported in the previous Tables</w:t>
      </w:r>
      <w:r w:rsidR="009B098B">
        <w:rPr>
          <w:rFonts w:cstheme="minorHAnsi"/>
          <w:lang w:val="en-US"/>
        </w:rPr>
        <w:t xml:space="preserve"> 1-3</w:t>
      </w:r>
      <w:r w:rsidR="00344D57">
        <w:rPr>
          <w:rFonts w:cstheme="minorHAnsi"/>
          <w:lang w:val="en-US"/>
        </w:rPr>
        <w:t>)</w:t>
      </w:r>
      <w:r w:rsidR="00F774EB">
        <w:rPr>
          <w:rFonts w:cstheme="minorHAnsi"/>
          <w:lang w:val="en-US"/>
        </w:rPr>
        <w:t>.</w:t>
      </w:r>
    </w:p>
    <w:p w:rsidR="0046138A" w:rsidRPr="00CD65C0" w:rsidRDefault="0046138A" w:rsidP="00CD65C0">
      <w:pPr>
        <w:spacing w:after="200" w:line="276" w:lineRule="auto"/>
        <w:jc w:val="both"/>
        <w:rPr>
          <w:rFonts w:eastAsia="Calibri" w:cstheme="minorHAnsi"/>
          <w:sz w:val="24"/>
          <w:szCs w:val="24"/>
          <w:lang w:val="en-US"/>
        </w:rPr>
      </w:pPr>
      <w:r w:rsidRPr="00CD65C0">
        <w:rPr>
          <w:rFonts w:cstheme="minorHAnsi"/>
          <w:sz w:val="24"/>
          <w:szCs w:val="24"/>
          <w:lang w:val="en-US"/>
        </w:rPr>
        <w:t xml:space="preserve">For both air emissions and energy input </w:t>
      </w:r>
      <w:r w:rsidRPr="00CD65C0">
        <w:rPr>
          <w:rFonts w:eastAsia="Calibri" w:cstheme="minorHAnsi"/>
          <w:sz w:val="24"/>
          <w:szCs w:val="24"/>
          <w:lang w:val="en-US"/>
        </w:rPr>
        <w:t xml:space="preserve">two </w:t>
      </w:r>
      <w:r w:rsidR="00816E67" w:rsidRPr="00CD65C0">
        <w:rPr>
          <w:rFonts w:eastAsia="Calibri" w:cstheme="minorHAnsi"/>
          <w:sz w:val="24"/>
          <w:szCs w:val="24"/>
          <w:lang w:val="en-US"/>
        </w:rPr>
        <w:t xml:space="preserve">environmental flow (EF) </w:t>
      </w:r>
      <w:r w:rsidRPr="00CD65C0">
        <w:rPr>
          <w:rFonts w:eastAsia="Calibri" w:cstheme="minorHAnsi"/>
          <w:sz w:val="24"/>
          <w:szCs w:val="24"/>
          <w:lang w:val="en-US"/>
        </w:rPr>
        <w:t xml:space="preserve">estimates were produced: </w:t>
      </w:r>
    </w:p>
    <w:p w:rsidR="0046138A" w:rsidRPr="00CD65C0" w:rsidRDefault="0046138A" w:rsidP="00CD65C0">
      <w:pPr>
        <w:numPr>
          <w:ilvl w:val="0"/>
          <w:numId w:val="10"/>
        </w:numPr>
        <w:spacing w:after="200"/>
        <w:ind w:left="714" w:hanging="357"/>
        <w:contextualSpacing/>
        <w:jc w:val="both"/>
        <w:rPr>
          <w:rFonts w:eastAsia="Calibri" w:cstheme="minorHAnsi"/>
          <w:sz w:val="24"/>
          <w:szCs w:val="24"/>
          <w:lang w:val="en-US"/>
        </w:rPr>
      </w:pPr>
      <w:r w:rsidRPr="00CD65C0">
        <w:rPr>
          <w:rFonts w:eastAsia="Calibri" w:cstheme="minorHAnsi"/>
          <w:b/>
          <w:sz w:val="24"/>
          <w:szCs w:val="24"/>
          <w:lang w:val="en-US"/>
        </w:rPr>
        <w:t xml:space="preserve">environmental flows by tourism industry </w:t>
      </w:r>
      <w:r w:rsidRPr="00CD65C0">
        <w:rPr>
          <w:rFonts w:eastAsia="Calibri" w:cstheme="minorHAnsi"/>
          <w:sz w:val="24"/>
          <w:szCs w:val="24"/>
          <w:lang w:val="en-US"/>
        </w:rPr>
        <w:t>(regardless of the proportion directly attributable to tourism):</w:t>
      </w:r>
      <w:r w:rsidRPr="00CD65C0">
        <w:rPr>
          <w:rFonts w:eastAsia="Calibri" w:cstheme="minorHAnsi"/>
          <w:sz w:val="24"/>
          <w:szCs w:val="24"/>
          <w:lang w:val="en-GB"/>
        </w:rPr>
        <w:t xml:space="preserve"> </w:t>
      </w:r>
      <w:r w:rsidRPr="00CD65C0">
        <w:rPr>
          <w:rFonts w:eastAsia="Calibri" w:cstheme="minorHAnsi"/>
          <w:b/>
          <w:sz w:val="24"/>
          <w:szCs w:val="24"/>
          <w:lang w:val="en-GB"/>
        </w:rPr>
        <w:t>EF_EMI_TOURind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xml:space="preserve"> </w:t>
      </w:r>
      <w:r w:rsidRPr="00CD65C0">
        <w:rPr>
          <w:rFonts w:eastAsia="Calibri" w:cstheme="minorHAnsi"/>
          <w:sz w:val="24"/>
          <w:szCs w:val="24"/>
          <w:lang w:val="en-GB"/>
        </w:rPr>
        <w:t>and</w:t>
      </w:r>
      <w:r w:rsidRPr="00CD65C0">
        <w:rPr>
          <w:rFonts w:eastAsia="Calibri" w:cstheme="minorHAnsi"/>
          <w:b/>
          <w:sz w:val="24"/>
          <w:szCs w:val="24"/>
          <w:lang w:val="en-GB"/>
        </w:rPr>
        <w:t xml:space="preserve"> EF_EUQ_TOURind</w:t>
      </w:r>
      <w:r w:rsidRPr="00CD65C0">
        <w:rPr>
          <w:rFonts w:eastAsia="Calibri" w:cstheme="minorHAnsi"/>
          <w:b/>
          <w:sz w:val="24"/>
          <w:szCs w:val="24"/>
          <w:vertAlign w:val="subscript"/>
          <w:lang w:val="en-US"/>
        </w:rPr>
        <w:t xml:space="preserve">(i), </w:t>
      </w:r>
      <w:r w:rsidRPr="00CD65C0">
        <w:rPr>
          <w:rFonts w:eastAsia="Calibri" w:cstheme="minorHAnsi"/>
          <w:sz w:val="24"/>
          <w:szCs w:val="24"/>
          <w:lang w:val="en-US"/>
        </w:rPr>
        <w:t>where</w:t>
      </w:r>
      <w:r w:rsidRPr="00CD65C0">
        <w:rPr>
          <w:rFonts w:eastAsia="Calibri" w:cstheme="minorHAnsi"/>
          <w:b/>
          <w:sz w:val="24"/>
          <w:szCs w:val="24"/>
          <w:lang w:val="en-GB"/>
        </w:rPr>
        <w:t xml:space="preserve"> EF </w:t>
      </w:r>
      <w:r w:rsidRPr="00CD65C0">
        <w:rPr>
          <w:rFonts w:eastAsia="Calibri" w:cstheme="minorHAnsi"/>
          <w:sz w:val="24"/>
          <w:szCs w:val="24"/>
          <w:lang w:val="en-GB"/>
        </w:rPr>
        <w:t>stands for environmental flow</w:t>
      </w:r>
      <w:r w:rsidRPr="00CD65C0">
        <w:rPr>
          <w:rFonts w:eastAsia="Calibri" w:cstheme="minorHAnsi"/>
          <w:b/>
          <w:sz w:val="24"/>
          <w:szCs w:val="24"/>
          <w:lang w:val="en-GB"/>
        </w:rPr>
        <w:t>, EMI</w:t>
      </w:r>
      <w:r w:rsidRPr="00CD65C0">
        <w:rPr>
          <w:rFonts w:eastAsia="Calibri" w:cstheme="minorHAnsi"/>
          <w:sz w:val="24"/>
          <w:szCs w:val="24"/>
          <w:lang w:val="en-GB"/>
        </w:rPr>
        <w:t xml:space="preserve"> for air emissions, </w:t>
      </w:r>
      <w:r w:rsidRPr="00CD65C0">
        <w:rPr>
          <w:rFonts w:eastAsia="Calibri" w:cstheme="minorHAnsi"/>
          <w:b/>
          <w:sz w:val="24"/>
          <w:szCs w:val="24"/>
          <w:lang w:val="en-GB"/>
        </w:rPr>
        <w:t>EUQ</w:t>
      </w:r>
      <w:r w:rsidRPr="00CD65C0">
        <w:rPr>
          <w:rFonts w:eastAsia="Calibri" w:cstheme="minorHAnsi"/>
          <w:sz w:val="24"/>
          <w:szCs w:val="24"/>
          <w:lang w:val="en-GB"/>
        </w:rPr>
        <w:t xml:space="preserve"> for energy use data in quantity terms, </w:t>
      </w:r>
      <w:r w:rsidR="004453D9" w:rsidRPr="00CD65C0">
        <w:rPr>
          <w:rFonts w:eastAsia="Calibri" w:cstheme="minorHAnsi"/>
          <w:b/>
          <w:sz w:val="24"/>
          <w:szCs w:val="24"/>
          <w:lang w:val="en-GB"/>
        </w:rPr>
        <w:t>TOURind</w:t>
      </w:r>
      <w:r w:rsidR="004453D9" w:rsidRPr="00CD65C0">
        <w:rPr>
          <w:rFonts w:eastAsia="Calibri" w:cstheme="minorHAnsi"/>
          <w:b/>
          <w:sz w:val="24"/>
          <w:szCs w:val="24"/>
          <w:vertAlign w:val="subscript"/>
          <w:lang w:val="en-US"/>
        </w:rPr>
        <w:t>(</w:t>
      </w:r>
      <w:r w:rsidRPr="00CD65C0">
        <w:rPr>
          <w:rFonts w:eastAsia="Calibri" w:cstheme="minorHAnsi"/>
          <w:b/>
          <w:sz w:val="24"/>
          <w:szCs w:val="24"/>
          <w:vertAlign w:val="subscript"/>
          <w:lang w:val="en-US"/>
        </w:rPr>
        <w:t>i</w:t>
      </w:r>
      <w:r w:rsidR="004453D9" w:rsidRPr="00CD65C0">
        <w:rPr>
          <w:rFonts w:eastAsia="Calibri" w:cstheme="minorHAnsi"/>
          <w:b/>
          <w:sz w:val="24"/>
          <w:szCs w:val="24"/>
          <w:vertAlign w:val="subscript"/>
          <w:lang w:val="en-US"/>
        </w:rPr>
        <w:t>)</w:t>
      </w:r>
      <w:r w:rsidRPr="00CD65C0">
        <w:rPr>
          <w:rFonts w:eastAsia="Calibri" w:cstheme="minorHAnsi"/>
          <w:sz w:val="24"/>
          <w:szCs w:val="24"/>
          <w:lang w:val="en-US"/>
        </w:rPr>
        <w:t xml:space="preserve"> are the 11 tourism industries listed in Table </w:t>
      </w:r>
      <w:r w:rsidR="00B81A65">
        <w:rPr>
          <w:rFonts w:eastAsia="Calibri" w:cstheme="minorHAnsi"/>
          <w:sz w:val="24"/>
          <w:szCs w:val="24"/>
          <w:lang w:val="en-US"/>
        </w:rPr>
        <w:t>5</w:t>
      </w:r>
      <w:r w:rsidRPr="00CD65C0">
        <w:rPr>
          <w:rFonts w:eastAsia="Calibri" w:cstheme="minorHAnsi"/>
          <w:sz w:val="24"/>
          <w:szCs w:val="24"/>
          <w:lang w:val="en-US"/>
        </w:rPr>
        <w:t xml:space="preserve">, column 1. </w:t>
      </w:r>
    </w:p>
    <w:p w:rsidR="0046138A" w:rsidRPr="00CD65C0" w:rsidRDefault="0046138A" w:rsidP="00CD65C0">
      <w:pPr>
        <w:numPr>
          <w:ilvl w:val="0"/>
          <w:numId w:val="10"/>
        </w:numPr>
        <w:spacing w:after="200"/>
        <w:ind w:left="714" w:hanging="357"/>
        <w:contextualSpacing/>
        <w:jc w:val="both"/>
        <w:rPr>
          <w:rFonts w:eastAsia="Calibri" w:cstheme="minorHAnsi"/>
          <w:b/>
          <w:sz w:val="24"/>
          <w:szCs w:val="24"/>
          <w:lang w:val="en-US"/>
        </w:rPr>
      </w:pPr>
      <w:r w:rsidRPr="00CD65C0">
        <w:rPr>
          <w:rFonts w:eastAsia="Calibri" w:cstheme="minorHAnsi"/>
          <w:b/>
          <w:sz w:val="24"/>
          <w:szCs w:val="24"/>
          <w:lang w:val="en-US"/>
        </w:rPr>
        <w:t xml:space="preserve">tourism share (TS) of environmental flows by tourism industry, </w:t>
      </w:r>
      <w:r w:rsidRPr="00CD65C0">
        <w:rPr>
          <w:rFonts w:eastAsia="Calibri" w:cstheme="minorHAnsi"/>
          <w:sz w:val="24"/>
          <w:szCs w:val="24"/>
          <w:lang w:val="en-US"/>
        </w:rPr>
        <w:t xml:space="preserve">i.e. the portion – out of the total amount of environmental flows related to a tourism industry –attributable to consumption by visitors and hence to tourism: </w:t>
      </w:r>
      <w:r w:rsidRPr="00CD65C0">
        <w:rPr>
          <w:rFonts w:eastAsia="Calibri" w:cstheme="minorHAnsi"/>
          <w:b/>
          <w:sz w:val="24"/>
          <w:szCs w:val="24"/>
          <w:lang w:val="en-US"/>
        </w:rPr>
        <w:t xml:space="preserve"> EF_EMI_TS</w:t>
      </w:r>
      <w:r w:rsidRPr="00CD65C0">
        <w:rPr>
          <w:rFonts w:eastAsia="Calibri" w:cstheme="minorHAnsi"/>
          <w:b/>
          <w:sz w:val="24"/>
          <w:szCs w:val="24"/>
          <w:vertAlign w:val="subscript"/>
          <w:lang w:val="en-US"/>
        </w:rPr>
        <w:t>(i)</w:t>
      </w:r>
      <w:r w:rsidRPr="00CD65C0">
        <w:rPr>
          <w:rFonts w:eastAsia="Calibri" w:cstheme="minorHAnsi"/>
          <w:b/>
          <w:sz w:val="24"/>
          <w:szCs w:val="24"/>
          <w:lang w:val="en-US"/>
        </w:rPr>
        <w:t xml:space="preserve"> </w:t>
      </w:r>
      <w:r w:rsidRPr="00CD65C0">
        <w:rPr>
          <w:rFonts w:eastAsia="Calibri" w:cstheme="minorHAnsi"/>
          <w:sz w:val="24"/>
          <w:szCs w:val="24"/>
          <w:lang w:val="en-US"/>
        </w:rPr>
        <w:t>and</w:t>
      </w:r>
      <w:r w:rsidRPr="00CD65C0">
        <w:rPr>
          <w:rFonts w:eastAsia="Calibri" w:cstheme="minorHAnsi"/>
          <w:b/>
          <w:sz w:val="24"/>
          <w:szCs w:val="24"/>
          <w:lang w:val="en-US"/>
        </w:rPr>
        <w:t xml:space="preserve"> EF_EUQ_TS</w:t>
      </w:r>
      <w:r w:rsidRPr="00CD65C0">
        <w:rPr>
          <w:rFonts w:eastAsia="Calibri" w:cstheme="minorHAnsi"/>
          <w:b/>
          <w:sz w:val="24"/>
          <w:szCs w:val="24"/>
          <w:vertAlign w:val="subscript"/>
          <w:lang w:val="en-US"/>
        </w:rPr>
        <w:t>(i)</w:t>
      </w:r>
    </w:p>
    <w:p w:rsidR="00816E67" w:rsidRPr="00CD65C0" w:rsidRDefault="00816E67" w:rsidP="00CD65C0">
      <w:pPr>
        <w:spacing w:after="200" w:line="276" w:lineRule="auto"/>
        <w:contextualSpacing/>
        <w:jc w:val="both"/>
        <w:rPr>
          <w:rFonts w:eastAsia="Calibri" w:cstheme="minorHAnsi"/>
          <w:sz w:val="24"/>
          <w:szCs w:val="24"/>
          <w:lang w:val="en-US"/>
        </w:rPr>
      </w:pPr>
      <w:bookmarkStart w:id="16" w:name="_Ref504143956"/>
      <w:bookmarkStart w:id="17" w:name="_Ref504314201"/>
      <w:r w:rsidRPr="00CD65C0">
        <w:rPr>
          <w:rFonts w:eastAsia="Calibri" w:cstheme="minorHAnsi"/>
          <w:sz w:val="24"/>
          <w:szCs w:val="24"/>
          <w:lang w:val="en-US"/>
        </w:rPr>
        <w:t xml:space="preserve">The methodology is explained </w:t>
      </w:r>
      <w:r w:rsidR="00C251CC" w:rsidRPr="00CD65C0">
        <w:rPr>
          <w:rFonts w:eastAsia="Calibri" w:cstheme="minorHAnsi"/>
          <w:sz w:val="24"/>
          <w:szCs w:val="24"/>
          <w:lang w:val="en-US"/>
        </w:rPr>
        <w:t>in the following sub-paragraph.</w:t>
      </w:r>
      <w:r w:rsidRPr="00CD65C0">
        <w:rPr>
          <w:rFonts w:eastAsia="Calibri" w:cstheme="minorHAnsi"/>
          <w:sz w:val="24"/>
          <w:szCs w:val="24"/>
          <w:lang w:val="en-US"/>
        </w:rPr>
        <w:t xml:space="preserve"> </w:t>
      </w:r>
    </w:p>
    <w:p w:rsidR="00C251CC" w:rsidRPr="00CD65C0" w:rsidRDefault="00C251CC" w:rsidP="00CD65C0">
      <w:pPr>
        <w:spacing w:after="200" w:line="276" w:lineRule="auto"/>
        <w:contextualSpacing/>
        <w:jc w:val="both"/>
        <w:rPr>
          <w:rFonts w:eastAsia="Calibri" w:cstheme="minorHAnsi"/>
          <w:sz w:val="24"/>
          <w:szCs w:val="24"/>
          <w:lang w:val="en-US"/>
        </w:rPr>
      </w:pPr>
    </w:p>
    <w:p w:rsidR="00310079" w:rsidRPr="00CD65C0" w:rsidRDefault="00C251CC" w:rsidP="00CD65C0">
      <w:pPr>
        <w:jc w:val="both"/>
        <w:rPr>
          <w:rFonts w:cs="Arial"/>
          <w:sz w:val="24"/>
          <w:szCs w:val="24"/>
          <w:lang w:val="en-US"/>
        </w:rPr>
      </w:pPr>
      <w:r w:rsidRPr="00CD65C0">
        <w:rPr>
          <w:rFonts w:cs="Arial"/>
          <w:sz w:val="24"/>
          <w:szCs w:val="24"/>
          <w:lang w:val="en-US"/>
        </w:rPr>
        <w:t xml:space="preserve">Regarding pilot study objectives c) and d), i.e. </w:t>
      </w:r>
      <w:r w:rsidRPr="00CD65C0">
        <w:rPr>
          <w:rFonts w:cstheme="minorHAnsi"/>
          <w:sz w:val="24"/>
          <w:szCs w:val="24"/>
          <w:lang w:val="en-US"/>
        </w:rPr>
        <w:t>assessment of the feasibility of producing regular integrated TSA-SEEA estimates for Italy as well as possible extensions to environmental variables not covered in the pilot study</w:t>
      </w:r>
      <w:r w:rsidRPr="00CD65C0">
        <w:rPr>
          <w:rFonts w:cs="Arial"/>
          <w:sz w:val="24"/>
          <w:szCs w:val="24"/>
          <w:lang w:val="en-US"/>
        </w:rPr>
        <w:t xml:space="preserve">, </w:t>
      </w:r>
      <w:r w:rsidR="0073657F">
        <w:rPr>
          <w:rFonts w:cs="Arial"/>
          <w:sz w:val="24"/>
          <w:szCs w:val="24"/>
          <w:lang w:val="en-US"/>
        </w:rPr>
        <w:t xml:space="preserve">main </w:t>
      </w:r>
      <w:r w:rsidRPr="00CD65C0">
        <w:rPr>
          <w:rFonts w:cs="Arial"/>
          <w:sz w:val="24"/>
          <w:szCs w:val="24"/>
          <w:lang w:val="en-US"/>
        </w:rPr>
        <w:t xml:space="preserve">conclusions are </w:t>
      </w:r>
      <w:r w:rsidR="00310079" w:rsidRPr="00CD65C0">
        <w:rPr>
          <w:rFonts w:cs="Arial"/>
          <w:sz w:val="24"/>
          <w:szCs w:val="24"/>
          <w:lang w:val="en-US"/>
        </w:rPr>
        <w:t xml:space="preserve">as follows: </w:t>
      </w:r>
    </w:p>
    <w:p w:rsidR="00310079" w:rsidRPr="00CD65C0" w:rsidRDefault="00C251CC" w:rsidP="00CD65C0">
      <w:pPr>
        <w:pStyle w:val="Liststycke"/>
        <w:numPr>
          <w:ilvl w:val="0"/>
          <w:numId w:val="18"/>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 xml:space="preserve">the </w:t>
      </w:r>
      <w:r w:rsidR="004453D9" w:rsidRPr="00CD65C0">
        <w:rPr>
          <w:rFonts w:asciiTheme="minorHAnsi" w:hAnsiTheme="minorHAnsi" w:cstheme="minorHAnsi"/>
          <w:sz w:val="24"/>
          <w:szCs w:val="24"/>
          <w:lang w:val="en-US"/>
        </w:rPr>
        <w:t xml:space="preserve">annual release </w:t>
      </w:r>
      <w:r w:rsidRPr="00CD65C0">
        <w:rPr>
          <w:rFonts w:asciiTheme="minorHAnsi" w:hAnsiTheme="minorHAnsi" w:cstheme="minorHAnsi"/>
          <w:sz w:val="24"/>
          <w:szCs w:val="24"/>
          <w:lang w:val="en-US"/>
        </w:rPr>
        <w:t xml:space="preserve">of air emission account and intermediate consumption of energy products in physical terms by NACE, </w:t>
      </w:r>
      <w:r w:rsidR="00310079" w:rsidRPr="00CD65C0">
        <w:rPr>
          <w:rFonts w:asciiTheme="minorHAnsi" w:hAnsiTheme="minorHAnsi" w:cstheme="minorHAnsi"/>
          <w:sz w:val="24"/>
          <w:szCs w:val="24"/>
          <w:lang w:val="en-US"/>
        </w:rPr>
        <w:t xml:space="preserve">makes </w:t>
      </w:r>
      <w:r w:rsidRPr="00CD65C0">
        <w:rPr>
          <w:rFonts w:asciiTheme="minorHAnsi" w:hAnsiTheme="minorHAnsi" w:cstheme="minorHAnsi"/>
          <w:sz w:val="24"/>
          <w:szCs w:val="24"/>
          <w:lang w:val="en-US"/>
        </w:rPr>
        <w:t xml:space="preserve">TSA-SEEA estimates for Italy </w:t>
      </w:r>
      <w:r w:rsidR="00310079" w:rsidRPr="00CD65C0">
        <w:rPr>
          <w:rFonts w:asciiTheme="minorHAnsi" w:hAnsiTheme="minorHAnsi" w:cstheme="minorHAnsi"/>
          <w:sz w:val="24"/>
          <w:szCs w:val="24"/>
          <w:lang w:val="en-US"/>
        </w:rPr>
        <w:t>regula</w:t>
      </w:r>
      <w:r w:rsidR="004453D9" w:rsidRPr="00CD65C0">
        <w:rPr>
          <w:rFonts w:asciiTheme="minorHAnsi" w:hAnsiTheme="minorHAnsi" w:cstheme="minorHAnsi"/>
          <w:sz w:val="24"/>
          <w:szCs w:val="24"/>
          <w:lang w:val="en-US"/>
        </w:rPr>
        <w:t xml:space="preserve">rly feasible for these accounts, for years in which </w:t>
      </w:r>
      <w:r w:rsidR="00310079" w:rsidRPr="00CD65C0">
        <w:rPr>
          <w:rFonts w:asciiTheme="minorHAnsi" w:hAnsiTheme="minorHAnsi" w:cstheme="minorHAnsi"/>
          <w:sz w:val="24"/>
          <w:szCs w:val="24"/>
          <w:lang w:val="en-US"/>
        </w:rPr>
        <w:t xml:space="preserve">a TSA is </w:t>
      </w:r>
      <w:r w:rsidR="004453D9" w:rsidRPr="00CD65C0">
        <w:rPr>
          <w:rFonts w:asciiTheme="minorHAnsi" w:hAnsiTheme="minorHAnsi" w:cstheme="minorHAnsi"/>
          <w:sz w:val="24"/>
          <w:szCs w:val="24"/>
          <w:lang w:val="en-US"/>
        </w:rPr>
        <w:t xml:space="preserve">also </w:t>
      </w:r>
      <w:r w:rsidR="00310079" w:rsidRPr="00CD65C0">
        <w:rPr>
          <w:rFonts w:asciiTheme="minorHAnsi" w:hAnsiTheme="minorHAnsi" w:cstheme="minorHAnsi"/>
          <w:sz w:val="24"/>
          <w:szCs w:val="24"/>
          <w:lang w:val="en-US"/>
        </w:rPr>
        <w:t>available</w:t>
      </w:r>
      <w:r w:rsidR="004453D9" w:rsidRPr="00CD65C0">
        <w:rPr>
          <w:rFonts w:asciiTheme="minorHAnsi" w:hAnsiTheme="minorHAnsi" w:cstheme="minorHAnsi"/>
          <w:sz w:val="24"/>
          <w:szCs w:val="24"/>
          <w:lang w:val="en-US"/>
        </w:rPr>
        <w:t>;</w:t>
      </w:r>
    </w:p>
    <w:p w:rsidR="00C251CC" w:rsidRPr="00CD65C0" w:rsidRDefault="00310079" w:rsidP="00CD65C0">
      <w:pPr>
        <w:pStyle w:val="Liststycke"/>
        <w:numPr>
          <w:ilvl w:val="0"/>
          <w:numId w:val="18"/>
        </w:numPr>
        <w:jc w:val="both"/>
        <w:rPr>
          <w:rFonts w:asciiTheme="minorHAnsi" w:hAnsiTheme="minorHAnsi" w:cstheme="minorHAnsi"/>
          <w:sz w:val="24"/>
          <w:szCs w:val="24"/>
          <w:lang w:val="en-US"/>
        </w:rPr>
      </w:pPr>
      <w:r w:rsidRPr="00CD65C0">
        <w:rPr>
          <w:rFonts w:asciiTheme="minorHAnsi" w:hAnsiTheme="minorHAnsi" w:cstheme="minorHAnsi"/>
          <w:sz w:val="24"/>
          <w:szCs w:val="24"/>
          <w:lang w:val="en-US"/>
        </w:rPr>
        <w:t xml:space="preserve">EF </w:t>
      </w:r>
      <w:r w:rsidR="00C251CC" w:rsidRPr="00CD65C0">
        <w:rPr>
          <w:rFonts w:asciiTheme="minorHAnsi" w:hAnsiTheme="minorHAnsi" w:cstheme="minorHAnsi"/>
          <w:sz w:val="24"/>
          <w:szCs w:val="24"/>
          <w:lang w:val="en-US"/>
        </w:rPr>
        <w:t xml:space="preserve">estimates could be extended to environmental taxes by applying the same method explained </w:t>
      </w:r>
      <w:r w:rsidRPr="00CD65C0">
        <w:rPr>
          <w:rFonts w:asciiTheme="minorHAnsi" w:hAnsiTheme="minorHAnsi" w:cstheme="minorHAnsi"/>
          <w:sz w:val="24"/>
          <w:szCs w:val="24"/>
          <w:lang w:val="en-US"/>
        </w:rPr>
        <w:t>below</w:t>
      </w:r>
      <w:r w:rsidR="00C251CC" w:rsidRPr="00CD65C0">
        <w:rPr>
          <w:rFonts w:asciiTheme="minorHAnsi" w:hAnsiTheme="minorHAnsi" w:cstheme="minorHAnsi"/>
          <w:sz w:val="24"/>
          <w:szCs w:val="24"/>
          <w:lang w:val="en-US"/>
        </w:rPr>
        <w:t xml:space="preserve"> for air emissions and energy use. </w:t>
      </w:r>
    </w:p>
    <w:p w:rsidR="00C251CC" w:rsidRPr="00CD65C0" w:rsidRDefault="00C251CC" w:rsidP="00CD65C0">
      <w:pPr>
        <w:spacing w:after="200" w:line="276" w:lineRule="auto"/>
        <w:contextualSpacing/>
        <w:jc w:val="both"/>
        <w:rPr>
          <w:rFonts w:eastAsia="Calibri" w:cstheme="minorHAnsi"/>
          <w:sz w:val="24"/>
          <w:szCs w:val="24"/>
          <w:lang w:val="en-US"/>
        </w:rPr>
      </w:pPr>
    </w:p>
    <w:p w:rsidR="00014B2A" w:rsidRPr="00CD65C0" w:rsidRDefault="00C07FDE" w:rsidP="00CD65C0">
      <w:pPr>
        <w:pStyle w:val="Rubrik3"/>
        <w:jc w:val="both"/>
        <w:rPr>
          <w:rFonts w:asciiTheme="minorHAnsi" w:hAnsiTheme="minorHAnsi"/>
          <w:sz w:val="24"/>
          <w:szCs w:val="24"/>
          <w:lang w:val="en-US"/>
        </w:rPr>
      </w:pPr>
      <w:bookmarkStart w:id="18" w:name="_Toc524965945"/>
      <w:r>
        <w:rPr>
          <w:rFonts w:asciiTheme="minorHAnsi" w:hAnsiTheme="minorHAnsi"/>
          <w:sz w:val="24"/>
          <w:szCs w:val="24"/>
          <w:lang w:val="en-US"/>
        </w:rPr>
        <w:t xml:space="preserve">2.2 </w:t>
      </w:r>
      <w:r w:rsidR="00014B2A" w:rsidRPr="00CD65C0">
        <w:rPr>
          <w:rFonts w:asciiTheme="minorHAnsi" w:hAnsiTheme="minorHAnsi"/>
          <w:sz w:val="24"/>
          <w:szCs w:val="24"/>
          <w:lang w:val="en-US"/>
        </w:rPr>
        <w:t>Methodology</w:t>
      </w:r>
      <w:bookmarkEnd w:id="18"/>
    </w:p>
    <w:p w:rsidR="00107EC4" w:rsidRPr="00CD65C0" w:rsidRDefault="00C07FDE" w:rsidP="00CD65C0">
      <w:pPr>
        <w:pStyle w:val="Rubrik4"/>
        <w:jc w:val="both"/>
        <w:rPr>
          <w:rFonts w:asciiTheme="minorHAnsi" w:eastAsia="Calibri" w:hAnsiTheme="minorHAnsi"/>
          <w:sz w:val="24"/>
          <w:szCs w:val="24"/>
          <w:lang w:val="en-US"/>
        </w:rPr>
      </w:pPr>
      <w:bookmarkStart w:id="19" w:name="_Toc524965946"/>
      <w:r>
        <w:rPr>
          <w:rFonts w:asciiTheme="minorHAnsi" w:eastAsia="Calibri" w:hAnsiTheme="minorHAnsi"/>
          <w:sz w:val="24"/>
          <w:szCs w:val="24"/>
          <w:lang w:val="en-US"/>
        </w:rPr>
        <w:t xml:space="preserve">2.2.1 </w:t>
      </w:r>
      <w:r w:rsidR="00107EC4" w:rsidRPr="00CD65C0">
        <w:rPr>
          <w:rFonts w:asciiTheme="minorHAnsi" w:eastAsia="Calibri" w:hAnsiTheme="minorHAnsi"/>
          <w:sz w:val="24"/>
          <w:szCs w:val="24"/>
          <w:lang w:val="en-US"/>
        </w:rPr>
        <w:t xml:space="preserve">Estimating </w:t>
      </w:r>
      <w:r w:rsidR="0046138A" w:rsidRPr="00CD65C0">
        <w:rPr>
          <w:rFonts w:asciiTheme="minorHAnsi" w:eastAsia="Calibri" w:hAnsiTheme="minorHAnsi"/>
          <w:sz w:val="24"/>
          <w:szCs w:val="24"/>
          <w:lang w:val="en-US"/>
        </w:rPr>
        <w:t>environmental flows by tourism industry</w:t>
      </w:r>
      <w:r w:rsidR="00107EC4" w:rsidRPr="00CD65C0">
        <w:rPr>
          <w:rFonts w:asciiTheme="minorHAnsi" w:eastAsia="Calibri" w:hAnsiTheme="minorHAnsi"/>
          <w:sz w:val="24"/>
          <w:szCs w:val="24"/>
          <w:vertAlign w:val="superscript"/>
          <w:lang w:val="en-US"/>
        </w:rPr>
        <w:footnoteReference w:id="15"/>
      </w:r>
      <w:bookmarkEnd w:id="19"/>
    </w:p>
    <w:p w:rsidR="00107EC4" w:rsidRPr="00CD65C0" w:rsidRDefault="00107EC4"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The purpose of the exercise is to estimate environmental flows by tourism industry (regardless of the proportion directly attributable to tourism): </w:t>
      </w:r>
      <w:r w:rsidRPr="00CD65C0">
        <w:rPr>
          <w:rFonts w:eastAsia="Calibri" w:cstheme="minorHAnsi"/>
          <w:b/>
          <w:sz w:val="24"/>
          <w:szCs w:val="24"/>
          <w:lang w:val="en-GB"/>
        </w:rPr>
        <w:t>EF_EMI_TOURind</w:t>
      </w:r>
      <w:r w:rsidRPr="00CD65C0">
        <w:rPr>
          <w:rFonts w:eastAsia="Calibri" w:cstheme="minorHAnsi"/>
          <w:b/>
          <w:sz w:val="24"/>
          <w:szCs w:val="24"/>
          <w:vertAlign w:val="subscript"/>
          <w:lang w:val="en-US"/>
        </w:rPr>
        <w:t>(i)</w:t>
      </w:r>
      <w:r w:rsidRPr="00CD65C0">
        <w:rPr>
          <w:rFonts w:eastAsia="Calibri" w:cstheme="minorHAnsi"/>
          <w:sz w:val="24"/>
          <w:szCs w:val="24"/>
          <w:lang w:val="en-US"/>
        </w:rPr>
        <w:t xml:space="preserve"> and </w:t>
      </w:r>
      <w:r w:rsidRPr="00CD65C0">
        <w:rPr>
          <w:rFonts w:eastAsia="Calibri" w:cstheme="minorHAnsi"/>
          <w:b/>
          <w:sz w:val="24"/>
          <w:szCs w:val="24"/>
          <w:lang w:val="en-GB"/>
        </w:rPr>
        <w:t>EF_EUQ_TOURind</w:t>
      </w:r>
      <w:r w:rsidRPr="00CD65C0">
        <w:rPr>
          <w:rFonts w:eastAsia="Calibri" w:cstheme="minorHAnsi"/>
          <w:b/>
          <w:sz w:val="24"/>
          <w:szCs w:val="24"/>
          <w:vertAlign w:val="subscript"/>
          <w:lang w:val="en-US"/>
        </w:rPr>
        <w:t>(i)</w:t>
      </w:r>
      <w:r w:rsidRPr="00CD65C0">
        <w:rPr>
          <w:rFonts w:eastAsia="Calibri" w:cstheme="minorHAnsi"/>
          <w:sz w:val="24"/>
          <w:szCs w:val="24"/>
          <w:lang w:val="en-US"/>
        </w:rPr>
        <w:t xml:space="preserve">, where (i) are the 11 tourism industries listed in </w:t>
      </w:r>
      <w:r w:rsidR="00CE2C58">
        <w:rPr>
          <w:rFonts w:eastAsia="Calibri" w:cstheme="minorHAnsi"/>
          <w:sz w:val="24"/>
          <w:szCs w:val="24"/>
          <w:lang w:val="en-US"/>
        </w:rPr>
        <w:fldChar w:fldCharType="begin"/>
      </w:r>
      <w:r w:rsidR="00CE2C58">
        <w:rPr>
          <w:rFonts w:eastAsia="Calibri" w:cstheme="minorHAnsi"/>
          <w:sz w:val="24"/>
          <w:szCs w:val="24"/>
          <w:lang w:val="en-US"/>
        </w:rPr>
        <w:instrText xml:space="preserve"> REF _Ref524340142 \h </w:instrText>
      </w:r>
      <w:r w:rsidR="00CE2C58">
        <w:rPr>
          <w:rFonts w:eastAsia="Calibri" w:cstheme="minorHAnsi"/>
          <w:sz w:val="24"/>
          <w:szCs w:val="24"/>
          <w:lang w:val="en-US"/>
        </w:rPr>
      </w:r>
      <w:r w:rsidR="00CE2C58">
        <w:rPr>
          <w:rFonts w:eastAsia="Calibri" w:cstheme="minorHAnsi"/>
          <w:sz w:val="24"/>
          <w:szCs w:val="24"/>
          <w:lang w:val="en-US"/>
        </w:rPr>
        <w:fldChar w:fldCharType="separate"/>
      </w:r>
      <w:r w:rsidR="00747D9C" w:rsidRPr="0046138A">
        <w:rPr>
          <w:rFonts w:cstheme="minorHAnsi"/>
          <w:sz w:val="24"/>
          <w:szCs w:val="24"/>
          <w:lang w:val="en-GB"/>
        </w:rPr>
        <w:t xml:space="preserve">Table </w:t>
      </w:r>
      <w:r w:rsidR="00747D9C">
        <w:rPr>
          <w:rFonts w:cstheme="minorHAnsi"/>
          <w:noProof/>
          <w:sz w:val="24"/>
          <w:szCs w:val="24"/>
          <w:lang w:val="en-GB"/>
        </w:rPr>
        <w:t>5</w:t>
      </w:r>
      <w:r w:rsidR="00CE2C58">
        <w:rPr>
          <w:rFonts w:eastAsia="Calibri" w:cstheme="minorHAnsi"/>
          <w:sz w:val="24"/>
          <w:szCs w:val="24"/>
          <w:lang w:val="en-US"/>
        </w:rPr>
        <w:fldChar w:fldCharType="end"/>
      </w:r>
      <w:r w:rsidRPr="00CD65C0">
        <w:rPr>
          <w:rFonts w:eastAsia="Calibri" w:cstheme="minorHAnsi"/>
          <w:sz w:val="24"/>
          <w:szCs w:val="24"/>
          <w:lang w:val="en-US"/>
        </w:rPr>
        <w:t>, column 1.</w:t>
      </w:r>
    </w:p>
    <w:p w:rsidR="00ED4244" w:rsidRPr="00CD65C0" w:rsidRDefault="00107EC4" w:rsidP="00CD65C0">
      <w:pPr>
        <w:spacing w:after="200" w:line="276" w:lineRule="auto"/>
        <w:contextualSpacing/>
        <w:jc w:val="both"/>
        <w:rPr>
          <w:rFonts w:eastAsia="Calibri" w:cstheme="minorHAnsi"/>
          <w:sz w:val="24"/>
          <w:szCs w:val="24"/>
          <w:lang w:val="en-GB"/>
        </w:rPr>
      </w:pPr>
      <w:r w:rsidRPr="00CD65C0">
        <w:rPr>
          <w:rFonts w:eastAsia="Calibri" w:cstheme="minorHAnsi"/>
          <w:sz w:val="24"/>
          <w:szCs w:val="24"/>
          <w:lang w:val="en-US"/>
        </w:rPr>
        <w:t xml:space="preserve">The </w:t>
      </w:r>
      <w:r w:rsidR="0046138A" w:rsidRPr="00CD65C0">
        <w:rPr>
          <w:rFonts w:eastAsia="Calibri" w:cstheme="minorHAnsi"/>
          <w:sz w:val="24"/>
          <w:szCs w:val="24"/>
          <w:lang w:val="en-US"/>
        </w:rPr>
        <w:t xml:space="preserve">starting point </w:t>
      </w:r>
      <w:r w:rsidRPr="00CD65C0">
        <w:rPr>
          <w:rFonts w:eastAsia="Calibri" w:cstheme="minorHAnsi"/>
          <w:sz w:val="24"/>
          <w:szCs w:val="24"/>
          <w:lang w:val="en-US"/>
        </w:rPr>
        <w:t xml:space="preserve">are </w:t>
      </w:r>
      <w:r w:rsidR="0046138A" w:rsidRPr="00CD65C0">
        <w:rPr>
          <w:rFonts w:eastAsia="Calibri" w:cstheme="minorHAnsi"/>
          <w:sz w:val="24"/>
          <w:szCs w:val="24"/>
          <w:lang w:val="en-US"/>
        </w:rPr>
        <w:t>environmental flows by national accounts industr</w:t>
      </w:r>
      <w:r w:rsidR="0073657F">
        <w:rPr>
          <w:rFonts w:eastAsia="Calibri" w:cstheme="minorHAnsi"/>
          <w:sz w:val="24"/>
          <w:szCs w:val="24"/>
          <w:lang w:val="en-US"/>
        </w:rPr>
        <w:t>ies</w:t>
      </w:r>
      <w:r w:rsidRPr="00CD65C0">
        <w:rPr>
          <w:rFonts w:eastAsia="Calibri" w:cstheme="minorHAnsi"/>
          <w:sz w:val="24"/>
          <w:szCs w:val="24"/>
          <w:lang w:val="en-US"/>
        </w:rPr>
        <w:t xml:space="preserve">, available from annual air emission accounts and </w:t>
      </w:r>
      <w:r w:rsidRPr="00CD65C0">
        <w:rPr>
          <w:rFonts w:cstheme="minorHAnsi"/>
          <w:sz w:val="24"/>
          <w:szCs w:val="24"/>
          <w:lang w:val="en-US"/>
        </w:rPr>
        <w:t>physical energy flow accounts</w:t>
      </w:r>
      <w:r w:rsidR="0046138A" w:rsidRPr="00CD65C0">
        <w:rPr>
          <w:rFonts w:eastAsia="Calibri" w:cstheme="minorHAnsi"/>
          <w:sz w:val="24"/>
          <w:szCs w:val="24"/>
          <w:lang w:val="en-US"/>
        </w:rPr>
        <w:t xml:space="preserve">: </w:t>
      </w:r>
      <w:r w:rsidR="0046138A" w:rsidRPr="00CD65C0">
        <w:rPr>
          <w:rFonts w:eastAsia="Calibri" w:cstheme="minorHAnsi"/>
          <w:b/>
          <w:sz w:val="24"/>
          <w:szCs w:val="24"/>
          <w:lang w:val="en-GB"/>
        </w:rPr>
        <w:t>EF_EMI_NA</w:t>
      </w:r>
      <w:r w:rsidR="0046138A" w:rsidRPr="00CD65C0">
        <w:rPr>
          <w:rFonts w:eastAsia="Calibri" w:cstheme="minorHAnsi"/>
          <w:b/>
          <w:sz w:val="24"/>
          <w:szCs w:val="24"/>
          <w:vertAlign w:val="subscript"/>
          <w:lang w:val="en-US"/>
        </w:rPr>
        <w:t>(j)</w:t>
      </w:r>
      <w:r w:rsidR="0046138A" w:rsidRPr="00CD65C0">
        <w:rPr>
          <w:rFonts w:eastAsia="Calibri" w:cstheme="minorHAnsi"/>
          <w:b/>
          <w:sz w:val="24"/>
          <w:szCs w:val="24"/>
          <w:lang w:val="en-GB"/>
        </w:rPr>
        <w:t xml:space="preserve"> </w:t>
      </w:r>
      <w:r w:rsidR="0046138A" w:rsidRPr="00CD65C0">
        <w:rPr>
          <w:rFonts w:eastAsia="Calibri" w:cstheme="minorHAnsi"/>
          <w:sz w:val="24"/>
          <w:szCs w:val="24"/>
          <w:lang w:val="en-GB"/>
        </w:rPr>
        <w:t>and</w:t>
      </w:r>
      <w:r w:rsidR="0046138A" w:rsidRPr="00CD65C0">
        <w:rPr>
          <w:rFonts w:eastAsia="Calibri" w:cstheme="minorHAnsi"/>
          <w:b/>
          <w:sz w:val="24"/>
          <w:szCs w:val="24"/>
          <w:lang w:val="en-GB"/>
        </w:rPr>
        <w:t xml:space="preserve"> EF_EUQ_NA</w:t>
      </w:r>
      <w:r w:rsidR="0046138A" w:rsidRPr="00CD65C0">
        <w:rPr>
          <w:rFonts w:eastAsia="Calibri" w:cstheme="minorHAnsi"/>
          <w:b/>
          <w:sz w:val="24"/>
          <w:szCs w:val="24"/>
          <w:vertAlign w:val="subscript"/>
          <w:lang w:val="en-US"/>
        </w:rPr>
        <w:t>(j)</w:t>
      </w:r>
      <w:r w:rsidR="0046138A" w:rsidRPr="00CD65C0">
        <w:rPr>
          <w:rFonts w:eastAsia="Calibri" w:cstheme="minorHAnsi"/>
          <w:b/>
          <w:sz w:val="24"/>
          <w:szCs w:val="24"/>
          <w:lang w:val="en-GB"/>
        </w:rPr>
        <w:t xml:space="preserve">, </w:t>
      </w:r>
      <w:r w:rsidR="0046138A" w:rsidRPr="00CD65C0">
        <w:rPr>
          <w:rFonts w:eastAsia="Calibri" w:cstheme="minorHAnsi"/>
          <w:sz w:val="24"/>
          <w:szCs w:val="24"/>
          <w:lang w:val="en-GB"/>
        </w:rPr>
        <w:t xml:space="preserve">where </w:t>
      </w:r>
      <w:r w:rsidR="0046138A" w:rsidRPr="00CD65C0">
        <w:rPr>
          <w:rFonts w:eastAsia="Calibri" w:cstheme="minorHAnsi"/>
          <w:sz w:val="24"/>
          <w:szCs w:val="24"/>
          <w:lang w:val="en-US"/>
        </w:rPr>
        <w:t xml:space="preserve">j are the national accounts economic activities listed in column 2 of </w:t>
      </w:r>
      <w:r w:rsidR="00CE2C58">
        <w:rPr>
          <w:rFonts w:eastAsia="Calibri" w:cstheme="minorHAnsi"/>
          <w:sz w:val="24"/>
          <w:szCs w:val="24"/>
          <w:lang w:val="en-US"/>
        </w:rPr>
        <w:fldChar w:fldCharType="begin"/>
      </w:r>
      <w:r w:rsidR="00CE2C58">
        <w:rPr>
          <w:rFonts w:eastAsia="Calibri" w:cstheme="minorHAnsi"/>
          <w:sz w:val="24"/>
          <w:szCs w:val="24"/>
          <w:lang w:val="en-US"/>
        </w:rPr>
        <w:instrText xml:space="preserve"> REF _Ref524340142 \h </w:instrText>
      </w:r>
      <w:r w:rsidR="00CE2C58">
        <w:rPr>
          <w:rFonts w:eastAsia="Calibri" w:cstheme="minorHAnsi"/>
          <w:sz w:val="24"/>
          <w:szCs w:val="24"/>
          <w:lang w:val="en-US"/>
        </w:rPr>
      </w:r>
      <w:r w:rsidR="00CE2C58">
        <w:rPr>
          <w:rFonts w:eastAsia="Calibri" w:cstheme="minorHAnsi"/>
          <w:sz w:val="24"/>
          <w:szCs w:val="24"/>
          <w:lang w:val="en-US"/>
        </w:rPr>
        <w:fldChar w:fldCharType="separate"/>
      </w:r>
      <w:r w:rsidR="00747D9C" w:rsidRPr="0046138A">
        <w:rPr>
          <w:rFonts w:cstheme="minorHAnsi"/>
          <w:sz w:val="24"/>
          <w:szCs w:val="24"/>
          <w:lang w:val="en-GB"/>
        </w:rPr>
        <w:t xml:space="preserve">Table </w:t>
      </w:r>
      <w:r w:rsidR="00747D9C">
        <w:rPr>
          <w:rFonts w:cstheme="minorHAnsi"/>
          <w:noProof/>
          <w:sz w:val="24"/>
          <w:szCs w:val="24"/>
          <w:lang w:val="en-GB"/>
        </w:rPr>
        <w:t>5</w:t>
      </w:r>
      <w:r w:rsidR="00CE2C58">
        <w:rPr>
          <w:rFonts w:eastAsia="Calibri" w:cstheme="minorHAnsi"/>
          <w:sz w:val="24"/>
          <w:szCs w:val="24"/>
          <w:lang w:val="en-US"/>
        </w:rPr>
        <w:fldChar w:fldCharType="end"/>
      </w:r>
      <w:r w:rsidR="0046138A" w:rsidRPr="00CD65C0">
        <w:rPr>
          <w:rFonts w:eastAsia="Calibri" w:cstheme="minorHAnsi"/>
          <w:sz w:val="24"/>
          <w:szCs w:val="24"/>
          <w:lang w:val="en-GB"/>
        </w:rPr>
        <w:t>.</w:t>
      </w:r>
    </w:p>
    <w:p w:rsidR="00ED4244" w:rsidRPr="00CD65C0" w:rsidRDefault="00ED4244" w:rsidP="00CD65C0">
      <w:pPr>
        <w:jc w:val="both"/>
        <w:rPr>
          <w:sz w:val="24"/>
          <w:szCs w:val="24"/>
          <w:lang w:val="en-GB"/>
        </w:rPr>
      </w:pPr>
      <w:r w:rsidRPr="00CD65C0">
        <w:rPr>
          <w:sz w:val="24"/>
          <w:szCs w:val="24"/>
          <w:lang w:val="en-GB"/>
        </w:rPr>
        <w:br w:type="page"/>
      </w:r>
    </w:p>
    <w:p w:rsidR="0046138A" w:rsidRPr="0046138A" w:rsidRDefault="0046138A" w:rsidP="0046138A">
      <w:pPr>
        <w:pStyle w:val="Beskrivning"/>
        <w:rPr>
          <w:rFonts w:asciiTheme="minorHAnsi" w:hAnsiTheme="minorHAnsi" w:cstheme="minorHAnsi"/>
          <w:sz w:val="24"/>
          <w:szCs w:val="24"/>
          <w:lang w:val="en-GB"/>
        </w:rPr>
      </w:pPr>
      <w:bookmarkStart w:id="20" w:name="_Ref524340142"/>
      <w:r w:rsidRPr="0046138A">
        <w:rPr>
          <w:rFonts w:asciiTheme="minorHAnsi" w:hAnsiTheme="minorHAnsi" w:cstheme="minorHAnsi"/>
          <w:sz w:val="24"/>
          <w:szCs w:val="24"/>
          <w:lang w:val="en-GB"/>
        </w:rPr>
        <w:t xml:space="preserve">Table </w:t>
      </w:r>
      <w:r w:rsidRPr="0046138A">
        <w:rPr>
          <w:rFonts w:asciiTheme="minorHAnsi" w:hAnsiTheme="minorHAnsi" w:cstheme="minorHAnsi"/>
          <w:sz w:val="24"/>
          <w:szCs w:val="24"/>
        </w:rPr>
        <w:fldChar w:fldCharType="begin"/>
      </w:r>
      <w:r w:rsidRPr="0046138A">
        <w:rPr>
          <w:rFonts w:asciiTheme="minorHAnsi" w:hAnsiTheme="minorHAnsi" w:cstheme="minorHAnsi"/>
          <w:sz w:val="24"/>
          <w:szCs w:val="24"/>
          <w:lang w:val="en-GB"/>
        </w:rPr>
        <w:instrText xml:space="preserve"> SEQ Table \* ARABIC </w:instrText>
      </w:r>
      <w:r w:rsidRPr="0046138A">
        <w:rPr>
          <w:rFonts w:asciiTheme="minorHAnsi" w:hAnsiTheme="minorHAnsi" w:cstheme="minorHAnsi"/>
          <w:sz w:val="24"/>
          <w:szCs w:val="24"/>
        </w:rPr>
        <w:fldChar w:fldCharType="separate"/>
      </w:r>
      <w:r w:rsidR="00747D9C">
        <w:rPr>
          <w:rFonts w:asciiTheme="minorHAnsi" w:hAnsiTheme="minorHAnsi" w:cstheme="minorHAnsi"/>
          <w:noProof/>
          <w:sz w:val="24"/>
          <w:szCs w:val="24"/>
          <w:lang w:val="en-GB"/>
        </w:rPr>
        <w:t>5</w:t>
      </w:r>
      <w:r w:rsidRPr="0046138A">
        <w:rPr>
          <w:rFonts w:asciiTheme="minorHAnsi" w:hAnsiTheme="minorHAnsi" w:cstheme="minorHAnsi"/>
          <w:sz w:val="24"/>
          <w:szCs w:val="24"/>
        </w:rPr>
        <w:fldChar w:fldCharType="end"/>
      </w:r>
      <w:bookmarkEnd w:id="16"/>
      <w:bookmarkEnd w:id="20"/>
      <w:r w:rsidR="00CD65C0">
        <w:rPr>
          <w:rFonts w:asciiTheme="minorHAnsi" w:hAnsiTheme="minorHAnsi" w:cstheme="minorHAnsi"/>
          <w:sz w:val="24"/>
          <w:szCs w:val="24"/>
          <w:lang w:val="en-GB"/>
        </w:rPr>
        <w:t xml:space="preserve">- </w:t>
      </w:r>
      <w:r w:rsidRPr="0046138A">
        <w:rPr>
          <w:rFonts w:asciiTheme="minorHAnsi" w:hAnsiTheme="minorHAnsi" w:cstheme="minorHAnsi"/>
          <w:sz w:val="24"/>
          <w:szCs w:val="24"/>
          <w:lang w:val="en-GB"/>
        </w:rPr>
        <w:t xml:space="preserve">Tourism industries (a), corresponding NA economic activities (b); differences in scope </w:t>
      </w:r>
      <w:bookmarkEnd w:id="17"/>
      <w:r w:rsidRPr="0046138A">
        <w:rPr>
          <w:rFonts w:asciiTheme="minorHAnsi" w:hAnsiTheme="minorHAnsi" w:cstheme="minorHAnsi"/>
          <w:sz w:val="24"/>
          <w:szCs w:val="24"/>
          <w:lang w:val="en-GB"/>
        </w:rPr>
        <w:t>between (a) and (b).</w:t>
      </w:r>
    </w:p>
    <w:tbl>
      <w:tblPr>
        <w:tblW w:w="4784" w:type="pct"/>
        <w:tblCellMar>
          <w:left w:w="70" w:type="dxa"/>
          <w:right w:w="70" w:type="dxa"/>
        </w:tblCellMar>
        <w:tblLook w:val="0000" w:firstRow="0" w:lastRow="0" w:firstColumn="0" w:lastColumn="0" w:noHBand="0" w:noVBand="0"/>
      </w:tblPr>
      <w:tblGrid>
        <w:gridCol w:w="3544"/>
        <w:gridCol w:w="2410"/>
        <w:gridCol w:w="3402"/>
      </w:tblGrid>
      <w:tr w:rsidR="0046138A" w:rsidRPr="002C107F" w:rsidTr="00310079">
        <w:trPr>
          <w:trHeight w:val="731"/>
        </w:trPr>
        <w:tc>
          <w:tcPr>
            <w:tcW w:w="1894" w:type="pct"/>
            <w:tcBorders>
              <w:top w:val="single" w:sz="4" w:space="0" w:color="auto"/>
              <w:left w:val="single" w:sz="4" w:space="0" w:color="auto"/>
              <w:bottom w:val="single" w:sz="4" w:space="0" w:color="auto"/>
              <w:right w:val="single" w:sz="4" w:space="0" w:color="auto"/>
            </w:tcBorders>
            <w:shd w:val="clear" w:color="auto" w:fill="333399"/>
            <w:vAlign w:val="center"/>
          </w:tcPr>
          <w:p w:rsidR="0046138A" w:rsidRPr="0046138A" w:rsidRDefault="0046138A" w:rsidP="00310079">
            <w:pPr>
              <w:jc w:val="center"/>
              <w:rPr>
                <w:rFonts w:cstheme="minorHAnsi"/>
                <w:b/>
                <w:bCs/>
                <w:color w:val="FFFFFF"/>
                <w:sz w:val="18"/>
                <w:szCs w:val="18"/>
              </w:rPr>
            </w:pPr>
            <w:r w:rsidRPr="0046138A">
              <w:rPr>
                <w:rFonts w:cstheme="minorHAnsi"/>
                <w:b/>
                <w:bCs/>
                <w:color w:val="FFFFFF"/>
                <w:sz w:val="18"/>
                <w:szCs w:val="18"/>
              </w:rPr>
              <w:t>Tourism industry (a)</w:t>
            </w:r>
          </w:p>
        </w:tc>
        <w:tc>
          <w:tcPr>
            <w:tcW w:w="1288" w:type="pct"/>
            <w:tcBorders>
              <w:top w:val="single" w:sz="4" w:space="0" w:color="auto"/>
              <w:left w:val="single" w:sz="4" w:space="0" w:color="auto"/>
              <w:bottom w:val="single" w:sz="4" w:space="0" w:color="auto"/>
              <w:right w:val="single" w:sz="4" w:space="0" w:color="auto"/>
            </w:tcBorders>
            <w:shd w:val="clear" w:color="auto" w:fill="333399"/>
          </w:tcPr>
          <w:p w:rsidR="0046138A" w:rsidRPr="0046138A" w:rsidRDefault="0046138A" w:rsidP="00310079">
            <w:pPr>
              <w:jc w:val="center"/>
              <w:rPr>
                <w:rFonts w:cstheme="minorHAnsi"/>
                <w:b/>
                <w:bCs/>
                <w:color w:val="FFFFFF"/>
                <w:sz w:val="18"/>
                <w:szCs w:val="18"/>
                <w:lang w:val="en-GB"/>
              </w:rPr>
            </w:pPr>
            <w:r w:rsidRPr="0046138A">
              <w:rPr>
                <w:rFonts w:cstheme="minorHAnsi"/>
                <w:b/>
                <w:bCs/>
                <w:color w:val="FFFFFF"/>
                <w:sz w:val="18"/>
                <w:szCs w:val="18"/>
                <w:lang w:val="en-GB"/>
              </w:rPr>
              <w:t xml:space="preserve">NA economic activity (b) </w:t>
            </w:r>
          </w:p>
        </w:tc>
        <w:tc>
          <w:tcPr>
            <w:tcW w:w="1818" w:type="pct"/>
            <w:tcBorders>
              <w:top w:val="single" w:sz="4" w:space="0" w:color="auto"/>
              <w:left w:val="single" w:sz="4" w:space="0" w:color="auto"/>
              <w:bottom w:val="single" w:sz="4" w:space="0" w:color="auto"/>
              <w:right w:val="single" w:sz="4" w:space="0" w:color="auto"/>
            </w:tcBorders>
            <w:shd w:val="clear" w:color="auto" w:fill="333399"/>
          </w:tcPr>
          <w:p w:rsidR="0046138A" w:rsidRPr="0046138A" w:rsidRDefault="0046138A" w:rsidP="00310079">
            <w:pPr>
              <w:jc w:val="center"/>
              <w:rPr>
                <w:rFonts w:cstheme="minorHAnsi"/>
                <w:b/>
                <w:bCs/>
                <w:color w:val="FFFFFF"/>
                <w:sz w:val="18"/>
                <w:szCs w:val="18"/>
                <w:lang w:val="en-GB"/>
              </w:rPr>
            </w:pPr>
            <w:r w:rsidRPr="0046138A">
              <w:rPr>
                <w:rFonts w:cstheme="minorHAnsi"/>
                <w:b/>
                <w:bCs/>
                <w:color w:val="FFFFFF"/>
                <w:sz w:val="18"/>
                <w:szCs w:val="18"/>
                <w:lang w:val="en-GB"/>
              </w:rPr>
              <w:t>Difference in scope - portion of NA economic activity (b) not included in tourism industry (a)</w:t>
            </w:r>
          </w:p>
        </w:tc>
      </w:tr>
      <w:tr w:rsidR="0046138A" w:rsidRPr="002C107F" w:rsidTr="00310079">
        <w:trPr>
          <w:trHeight w:val="255"/>
        </w:trPr>
        <w:tc>
          <w:tcPr>
            <w:tcW w:w="1894" w:type="pct"/>
            <w:vMerge w:val="restart"/>
            <w:tcBorders>
              <w:top w:val="nil"/>
              <w:left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 xml:space="preserve">1- Accommodation for visitors </w:t>
            </w:r>
          </w:p>
        </w:tc>
        <w:tc>
          <w:tcPr>
            <w:tcW w:w="1288" w:type="pct"/>
            <w:tcBorders>
              <w:top w:val="nil"/>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rPr>
            </w:pPr>
            <w:r w:rsidRPr="0046138A">
              <w:rPr>
                <w:rFonts w:cstheme="minorHAnsi"/>
                <w:sz w:val="18"/>
                <w:szCs w:val="18"/>
              </w:rPr>
              <w:t>Accommodation</w:t>
            </w:r>
          </w:p>
        </w:tc>
        <w:tc>
          <w:tcPr>
            <w:tcW w:w="1818" w:type="pct"/>
            <w:tcBorders>
              <w:top w:val="nil"/>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US"/>
              </w:rPr>
            </w:pPr>
            <w:r w:rsidRPr="0046138A">
              <w:rPr>
                <w:rFonts w:cstheme="minorHAnsi"/>
                <w:sz w:val="18"/>
                <w:szCs w:val="18"/>
                <w:lang w:val="en-US"/>
              </w:rPr>
              <w:t>Accommodation for students, and workers such as student residences,  school dormitories,  workers hostels</w:t>
            </w:r>
          </w:p>
          <w:p w:rsidR="0046138A" w:rsidRPr="0046138A" w:rsidRDefault="0046138A" w:rsidP="00310079">
            <w:pPr>
              <w:rPr>
                <w:rFonts w:cstheme="minorHAnsi"/>
                <w:sz w:val="18"/>
                <w:szCs w:val="18"/>
                <w:lang w:val="en-US"/>
              </w:rPr>
            </w:pPr>
          </w:p>
        </w:tc>
      </w:tr>
      <w:tr w:rsidR="0046138A" w:rsidRPr="002C107F" w:rsidTr="00310079">
        <w:trPr>
          <w:trHeight w:val="351"/>
        </w:trPr>
        <w:tc>
          <w:tcPr>
            <w:tcW w:w="1894" w:type="pct"/>
            <w:vMerge/>
            <w:tcBorders>
              <w:left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lang w:val="en-US"/>
              </w:rPr>
            </w:pPr>
          </w:p>
        </w:tc>
        <w:tc>
          <w:tcPr>
            <w:tcW w:w="1288" w:type="pct"/>
            <w:tcBorders>
              <w:left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lang w:val="en-US"/>
              </w:rPr>
              <w:t>Buying and selling of real estate and real estate activities for third parties</w:t>
            </w:r>
          </w:p>
        </w:tc>
        <w:tc>
          <w:tcPr>
            <w:tcW w:w="1818" w:type="pct"/>
            <w:tcBorders>
              <w:left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lang w:val="en-US"/>
              </w:rPr>
              <w:t>No conceptual difference in scope but the portion of real estate activities not related to tourism is not included</w:t>
            </w:r>
          </w:p>
        </w:tc>
      </w:tr>
      <w:tr w:rsidR="0046138A" w:rsidRPr="0046138A" w:rsidTr="00310079">
        <w:trPr>
          <w:trHeight w:val="385"/>
        </w:trPr>
        <w:tc>
          <w:tcPr>
            <w:tcW w:w="1894" w:type="pct"/>
            <w:vMerge/>
            <w:tcBorders>
              <w:left w:val="single" w:sz="4" w:space="0" w:color="auto"/>
              <w:bottom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lang w:val="en-US"/>
              </w:rPr>
            </w:pPr>
          </w:p>
        </w:tc>
        <w:tc>
          <w:tcPr>
            <w:tcW w:w="1288" w:type="pct"/>
            <w:tcBorders>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Rental and management of properties owned or leased</w:t>
            </w:r>
          </w:p>
        </w:tc>
        <w:tc>
          <w:tcPr>
            <w:tcW w:w="1818" w:type="pct"/>
            <w:tcBorders>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See above</w:t>
            </w:r>
          </w:p>
        </w:tc>
      </w:tr>
      <w:tr w:rsidR="0046138A" w:rsidRPr="002C107F" w:rsidTr="00310079">
        <w:trPr>
          <w:trHeight w:val="334"/>
        </w:trPr>
        <w:tc>
          <w:tcPr>
            <w:tcW w:w="1894"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46138A" w:rsidRPr="0046138A" w:rsidRDefault="0046138A" w:rsidP="00310079">
            <w:pPr>
              <w:rPr>
                <w:rFonts w:cstheme="minorHAnsi"/>
                <w:color w:val="000000"/>
                <w:sz w:val="18"/>
                <w:szCs w:val="18"/>
                <w:lang w:val="en-GB"/>
              </w:rPr>
            </w:pPr>
            <w:r w:rsidRPr="0046138A">
              <w:rPr>
                <w:rFonts w:cstheme="minorHAnsi"/>
                <w:color w:val="000000"/>
                <w:sz w:val="18"/>
                <w:szCs w:val="18"/>
                <w:lang w:val="en-GB"/>
              </w:rPr>
              <w:t>2- Food and beverage serving activities</w:t>
            </w:r>
          </w:p>
        </w:tc>
        <w:tc>
          <w:tcPr>
            <w:tcW w:w="128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GB"/>
              </w:rPr>
            </w:pPr>
            <w:r w:rsidRPr="0046138A">
              <w:rPr>
                <w:rFonts w:cstheme="minorHAnsi"/>
                <w:sz w:val="18"/>
                <w:szCs w:val="18"/>
                <w:lang w:val="en-GB"/>
              </w:rPr>
              <w:t>Food and beverage serving activities</w:t>
            </w:r>
          </w:p>
        </w:tc>
        <w:tc>
          <w:tcPr>
            <w:tcW w:w="181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GB"/>
              </w:rPr>
            </w:pPr>
            <w:r w:rsidRPr="0046138A">
              <w:rPr>
                <w:rFonts w:cstheme="minorHAnsi"/>
                <w:sz w:val="18"/>
                <w:szCs w:val="18"/>
                <w:lang w:val="en-GB"/>
              </w:rPr>
              <w:t xml:space="preserve">Event catering and other food service activities </w:t>
            </w:r>
          </w:p>
        </w:tc>
      </w:tr>
      <w:tr w:rsidR="0046138A" w:rsidRPr="0046138A" w:rsidTr="00310079">
        <w:trPr>
          <w:trHeight w:val="270"/>
        </w:trPr>
        <w:tc>
          <w:tcPr>
            <w:tcW w:w="1894"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 xml:space="preserve">3- Railway passenger transport </w:t>
            </w:r>
          </w:p>
        </w:tc>
        <w:tc>
          <w:tcPr>
            <w:tcW w:w="128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rPr>
            </w:pPr>
            <w:r w:rsidRPr="0046138A">
              <w:rPr>
                <w:rFonts w:cstheme="minorHAnsi"/>
                <w:sz w:val="18"/>
                <w:szCs w:val="18"/>
              </w:rPr>
              <w:t>Railway transport</w:t>
            </w:r>
          </w:p>
        </w:tc>
        <w:tc>
          <w:tcPr>
            <w:tcW w:w="181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GB"/>
              </w:rPr>
            </w:pPr>
            <w:r w:rsidRPr="0046138A">
              <w:rPr>
                <w:rFonts w:cstheme="minorHAnsi"/>
                <w:sz w:val="18"/>
                <w:szCs w:val="18"/>
                <w:lang w:val="en-GB"/>
              </w:rPr>
              <w:t>Freight rail transport</w:t>
            </w:r>
          </w:p>
        </w:tc>
      </w:tr>
      <w:tr w:rsidR="0046138A" w:rsidRPr="002C107F" w:rsidTr="00310079">
        <w:trPr>
          <w:trHeight w:val="273"/>
        </w:trPr>
        <w:tc>
          <w:tcPr>
            <w:tcW w:w="1894"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46138A" w:rsidRPr="0046138A" w:rsidRDefault="0046138A" w:rsidP="00310079">
            <w:pPr>
              <w:rPr>
                <w:rFonts w:cstheme="minorHAnsi"/>
                <w:color w:val="000000"/>
                <w:sz w:val="18"/>
                <w:szCs w:val="18"/>
                <w:lang w:val="en-GB"/>
              </w:rPr>
            </w:pPr>
            <w:r w:rsidRPr="0046138A">
              <w:rPr>
                <w:rFonts w:cstheme="minorHAnsi"/>
                <w:color w:val="000000"/>
                <w:sz w:val="18"/>
                <w:szCs w:val="18"/>
                <w:lang w:val="en-GB"/>
              </w:rPr>
              <w:t>4- Road passenger transport</w:t>
            </w:r>
          </w:p>
        </w:tc>
        <w:tc>
          <w:tcPr>
            <w:tcW w:w="128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color w:val="000000"/>
                <w:sz w:val="18"/>
                <w:szCs w:val="18"/>
                <w:lang w:val="en-GB"/>
              </w:rPr>
            </w:pPr>
            <w:r w:rsidRPr="0046138A">
              <w:rPr>
                <w:rFonts w:cstheme="minorHAnsi"/>
                <w:color w:val="000000"/>
                <w:sz w:val="18"/>
                <w:szCs w:val="18"/>
                <w:lang w:val="en-GB"/>
              </w:rPr>
              <w:t>Other land passenger transport</w:t>
            </w:r>
          </w:p>
        </w:tc>
        <w:tc>
          <w:tcPr>
            <w:tcW w:w="181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color w:val="000000"/>
                <w:sz w:val="18"/>
                <w:szCs w:val="18"/>
                <w:lang w:val="en-GB"/>
              </w:rPr>
            </w:pPr>
            <w:r w:rsidRPr="0046138A">
              <w:rPr>
                <w:rFonts w:cstheme="minorHAnsi"/>
                <w:color w:val="000000"/>
                <w:sz w:val="18"/>
                <w:szCs w:val="18"/>
                <w:lang w:val="en-GB"/>
              </w:rPr>
              <w:t>Urban and suburban passenger land transport</w:t>
            </w:r>
          </w:p>
        </w:tc>
      </w:tr>
      <w:tr w:rsidR="0046138A" w:rsidRPr="002C107F" w:rsidTr="00310079">
        <w:trPr>
          <w:trHeight w:val="283"/>
        </w:trPr>
        <w:tc>
          <w:tcPr>
            <w:tcW w:w="1894"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5- Water passenger transport</w:t>
            </w:r>
          </w:p>
        </w:tc>
        <w:tc>
          <w:tcPr>
            <w:tcW w:w="128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Maritime and inland water transport</w:t>
            </w:r>
          </w:p>
        </w:tc>
        <w:tc>
          <w:tcPr>
            <w:tcW w:w="181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Sea, inland and coastal freight water transport</w:t>
            </w:r>
          </w:p>
        </w:tc>
      </w:tr>
      <w:tr w:rsidR="0046138A" w:rsidRPr="002C107F" w:rsidTr="00310079">
        <w:trPr>
          <w:trHeight w:val="267"/>
        </w:trPr>
        <w:tc>
          <w:tcPr>
            <w:tcW w:w="1894"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6- Air passenger transport</w:t>
            </w:r>
          </w:p>
        </w:tc>
        <w:tc>
          <w:tcPr>
            <w:tcW w:w="128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rPr>
            </w:pPr>
            <w:r w:rsidRPr="0046138A">
              <w:rPr>
                <w:rFonts w:cstheme="minorHAnsi"/>
                <w:sz w:val="18"/>
                <w:szCs w:val="18"/>
              </w:rPr>
              <w:t>Air transport</w:t>
            </w:r>
          </w:p>
        </w:tc>
        <w:tc>
          <w:tcPr>
            <w:tcW w:w="181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US"/>
              </w:rPr>
            </w:pPr>
            <w:r w:rsidRPr="0046138A">
              <w:rPr>
                <w:rFonts w:cstheme="minorHAnsi"/>
                <w:sz w:val="18"/>
                <w:szCs w:val="18"/>
                <w:lang w:val="en-US"/>
              </w:rPr>
              <w:t>Freight air transport and space transport</w:t>
            </w:r>
          </w:p>
        </w:tc>
      </w:tr>
      <w:tr w:rsidR="0046138A" w:rsidRPr="002C107F" w:rsidTr="00310079">
        <w:trPr>
          <w:trHeight w:val="553"/>
        </w:trPr>
        <w:tc>
          <w:tcPr>
            <w:tcW w:w="1894"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7- Transport equipment rental</w:t>
            </w:r>
          </w:p>
        </w:tc>
        <w:tc>
          <w:tcPr>
            <w:tcW w:w="128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color w:val="000000"/>
                <w:sz w:val="18"/>
                <w:szCs w:val="18"/>
                <w:lang w:val="en-US"/>
              </w:rPr>
            </w:pPr>
            <w:r w:rsidRPr="0046138A">
              <w:rPr>
                <w:rFonts w:cstheme="minorHAnsi"/>
                <w:color w:val="000000"/>
                <w:sz w:val="18"/>
                <w:szCs w:val="18"/>
                <w:lang w:val="en-US"/>
              </w:rPr>
              <w:t>Renting and operating leasing activities</w:t>
            </w:r>
          </w:p>
        </w:tc>
        <w:tc>
          <w:tcPr>
            <w:tcW w:w="1818" w:type="pct"/>
            <w:tcBorders>
              <w:top w:val="nil"/>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color w:val="000000"/>
                <w:sz w:val="18"/>
                <w:szCs w:val="18"/>
                <w:lang w:val="en-US"/>
              </w:rPr>
            </w:pPr>
            <w:r w:rsidRPr="0046138A">
              <w:rPr>
                <w:rFonts w:cstheme="minorHAnsi"/>
                <w:color w:val="000000"/>
                <w:sz w:val="18"/>
                <w:szCs w:val="18"/>
                <w:lang w:val="en-US"/>
              </w:rPr>
              <w:t>Renting and leasing of recreational and sports goods (part of tourism industry 10 – sport and recreational industry)</w:t>
            </w:r>
          </w:p>
        </w:tc>
      </w:tr>
      <w:tr w:rsidR="0046138A" w:rsidRPr="002C107F" w:rsidTr="00310079">
        <w:trPr>
          <w:trHeight w:val="494"/>
        </w:trPr>
        <w:tc>
          <w:tcPr>
            <w:tcW w:w="1894"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46138A" w:rsidRPr="0046138A" w:rsidRDefault="0046138A" w:rsidP="00310079">
            <w:pPr>
              <w:rPr>
                <w:rFonts w:cstheme="minorHAnsi"/>
                <w:color w:val="000000"/>
                <w:sz w:val="18"/>
                <w:szCs w:val="18"/>
                <w:lang w:val="en-GB"/>
              </w:rPr>
            </w:pPr>
            <w:r w:rsidRPr="0046138A">
              <w:rPr>
                <w:rFonts w:cstheme="minorHAnsi"/>
                <w:color w:val="000000"/>
                <w:sz w:val="18"/>
                <w:szCs w:val="18"/>
                <w:lang w:val="en-GB"/>
              </w:rPr>
              <w:t>8- Travel agencies and other reservation services industry</w:t>
            </w:r>
          </w:p>
        </w:tc>
        <w:tc>
          <w:tcPr>
            <w:tcW w:w="128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GB"/>
              </w:rPr>
            </w:pPr>
            <w:r w:rsidRPr="0046138A">
              <w:rPr>
                <w:rFonts w:cstheme="minorHAnsi"/>
                <w:sz w:val="18"/>
                <w:szCs w:val="18"/>
                <w:lang w:val="en-GB"/>
              </w:rPr>
              <w:t xml:space="preserve">Services activities of </w:t>
            </w:r>
            <w:r w:rsidRPr="0046138A">
              <w:rPr>
                <w:rFonts w:cstheme="minorHAnsi"/>
                <w:color w:val="000000"/>
                <w:sz w:val="18"/>
                <w:szCs w:val="18"/>
                <w:lang w:val="en-GB"/>
              </w:rPr>
              <w:t>Travel agencies</w:t>
            </w:r>
            <w:r w:rsidRPr="0046138A">
              <w:rPr>
                <w:rFonts w:cstheme="minorHAnsi"/>
                <w:sz w:val="18"/>
                <w:szCs w:val="18"/>
                <w:lang w:val="en-GB"/>
              </w:rPr>
              <w:t>, Tourism Operators and related reservation services and activities</w:t>
            </w:r>
          </w:p>
        </w:tc>
        <w:tc>
          <w:tcPr>
            <w:tcW w:w="1818" w:type="pct"/>
            <w:tcBorders>
              <w:top w:val="nil"/>
              <w:left w:val="single" w:sz="4" w:space="0" w:color="auto"/>
              <w:bottom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highlight w:val="yellow"/>
                <w:lang w:val="en-GB"/>
              </w:rPr>
            </w:pPr>
            <w:r w:rsidRPr="0046138A">
              <w:rPr>
                <w:rFonts w:cstheme="minorHAnsi"/>
                <w:sz w:val="18"/>
                <w:szCs w:val="18"/>
                <w:lang w:val="en-GB"/>
              </w:rPr>
              <w:t>No difference in scope but the portion of output related to package tours is not included</w:t>
            </w:r>
          </w:p>
        </w:tc>
      </w:tr>
      <w:tr w:rsidR="0046138A" w:rsidRPr="0046138A" w:rsidTr="00310079">
        <w:trPr>
          <w:trHeight w:val="349"/>
        </w:trPr>
        <w:tc>
          <w:tcPr>
            <w:tcW w:w="1894" w:type="pct"/>
            <w:vMerge w:val="restart"/>
            <w:tcBorders>
              <w:top w:val="nil"/>
              <w:left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9- Cultural activities</w:t>
            </w:r>
          </w:p>
        </w:tc>
        <w:tc>
          <w:tcPr>
            <w:tcW w:w="1288" w:type="pct"/>
            <w:tcBorders>
              <w:top w:val="nil"/>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US"/>
              </w:rPr>
            </w:pPr>
            <w:r w:rsidRPr="0046138A">
              <w:rPr>
                <w:rFonts w:cstheme="minorHAnsi"/>
                <w:sz w:val="18"/>
                <w:szCs w:val="18"/>
                <w:lang w:val="en-US"/>
              </w:rPr>
              <w:t>Creative, arts and entertainment activities</w:t>
            </w:r>
          </w:p>
        </w:tc>
        <w:tc>
          <w:tcPr>
            <w:tcW w:w="1818" w:type="pct"/>
            <w:tcBorders>
              <w:top w:val="nil"/>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rPr>
            </w:pPr>
            <w:r w:rsidRPr="0046138A">
              <w:rPr>
                <w:rFonts w:cstheme="minorHAnsi"/>
                <w:sz w:val="18"/>
                <w:szCs w:val="18"/>
              </w:rPr>
              <w:t>None</w:t>
            </w:r>
          </w:p>
        </w:tc>
      </w:tr>
      <w:tr w:rsidR="0046138A" w:rsidRPr="0046138A" w:rsidTr="00310079">
        <w:trPr>
          <w:trHeight w:val="345"/>
        </w:trPr>
        <w:tc>
          <w:tcPr>
            <w:tcW w:w="1894" w:type="pct"/>
            <w:vMerge/>
            <w:tcBorders>
              <w:left w:val="single" w:sz="4" w:space="0" w:color="auto"/>
              <w:bottom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rPr>
            </w:pPr>
          </w:p>
        </w:tc>
        <w:tc>
          <w:tcPr>
            <w:tcW w:w="1288" w:type="pct"/>
            <w:tcBorders>
              <w:left w:val="single" w:sz="4" w:space="0" w:color="auto"/>
              <w:bottom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lang w:val="en-US"/>
              </w:rPr>
              <w:t>Libraries, archives, museums and other cultural activities</w:t>
            </w:r>
          </w:p>
        </w:tc>
        <w:tc>
          <w:tcPr>
            <w:tcW w:w="1818" w:type="pct"/>
            <w:tcBorders>
              <w:left w:val="single" w:sz="4" w:space="0" w:color="auto"/>
              <w:bottom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rPr>
              <w:t>Library and archives activities</w:t>
            </w:r>
          </w:p>
        </w:tc>
      </w:tr>
      <w:tr w:rsidR="0046138A" w:rsidRPr="0046138A" w:rsidTr="00310079">
        <w:trPr>
          <w:trHeight w:val="469"/>
        </w:trPr>
        <w:tc>
          <w:tcPr>
            <w:tcW w:w="1894" w:type="pct"/>
            <w:vMerge w:val="restart"/>
            <w:tcBorders>
              <w:top w:val="single" w:sz="4" w:space="0" w:color="auto"/>
              <w:left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rPr>
            </w:pPr>
            <w:r w:rsidRPr="0046138A">
              <w:rPr>
                <w:rFonts w:cstheme="minorHAnsi"/>
                <w:color w:val="000000"/>
                <w:sz w:val="18"/>
                <w:szCs w:val="18"/>
              </w:rPr>
              <w:t>10- Sports and recreational industry</w:t>
            </w:r>
          </w:p>
        </w:tc>
        <w:tc>
          <w:tcPr>
            <w:tcW w:w="1288" w:type="pct"/>
            <w:tcBorders>
              <w:top w:val="single" w:sz="4" w:space="0" w:color="auto"/>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US"/>
              </w:rPr>
            </w:pPr>
            <w:r w:rsidRPr="0046138A">
              <w:rPr>
                <w:rFonts w:cstheme="minorHAnsi"/>
                <w:sz w:val="18"/>
                <w:szCs w:val="18"/>
                <w:lang w:val="en-US"/>
              </w:rPr>
              <w:t>Lotteries, betting and casinos related activities</w:t>
            </w:r>
          </w:p>
        </w:tc>
        <w:tc>
          <w:tcPr>
            <w:tcW w:w="1818" w:type="pct"/>
            <w:tcBorders>
              <w:top w:val="single" w:sz="4" w:space="0" w:color="auto"/>
              <w:left w:val="single" w:sz="4" w:space="0" w:color="auto"/>
              <w:right w:val="single" w:sz="4" w:space="0" w:color="auto"/>
            </w:tcBorders>
            <w:shd w:val="clear" w:color="auto" w:fill="F2F2F2" w:themeFill="background1" w:themeFillShade="F2"/>
          </w:tcPr>
          <w:p w:rsidR="0046138A" w:rsidRPr="0046138A" w:rsidRDefault="0046138A" w:rsidP="00310079">
            <w:pPr>
              <w:rPr>
                <w:rFonts w:cstheme="minorHAnsi"/>
                <w:sz w:val="18"/>
                <w:szCs w:val="18"/>
                <w:lang w:val="en-US"/>
              </w:rPr>
            </w:pPr>
            <w:r w:rsidRPr="0046138A">
              <w:rPr>
                <w:rFonts w:cstheme="minorHAnsi"/>
                <w:sz w:val="18"/>
                <w:szCs w:val="18"/>
                <w:lang w:val="en-US"/>
              </w:rPr>
              <w:t>None</w:t>
            </w:r>
          </w:p>
        </w:tc>
      </w:tr>
      <w:tr w:rsidR="0046138A" w:rsidRPr="002C107F" w:rsidTr="00310079">
        <w:trPr>
          <w:trHeight w:val="335"/>
        </w:trPr>
        <w:tc>
          <w:tcPr>
            <w:tcW w:w="1894" w:type="pct"/>
            <w:vMerge/>
            <w:tcBorders>
              <w:left w:val="single" w:sz="4" w:space="0" w:color="auto"/>
              <w:bottom w:val="single" w:sz="4" w:space="0" w:color="auto"/>
              <w:right w:val="single" w:sz="4" w:space="0" w:color="auto"/>
            </w:tcBorders>
            <w:shd w:val="clear" w:color="auto" w:fill="auto"/>
            <w:vAlign w:val="center"/>
          </w:tcPr>
          <w:p w:rsidR="0046138A" w:rsidRPr="0046138A" w:rsidRDefault="0046138A" w:rsidP="00310079">
            <w:pPr>
              <w:rPr>
                <w:rFonts w:cstheme="minorHAnsi"/>
                <w:color w:val="000000"/>
                <w:sz w:val="18"/>
                <w:szCs w:val="18"/>
                <w:lang w:val="en-US"/>
              </w:rPr>
            </w:pPr>
          </w:p>
        </w:tc>
        <w:tc>
          <w:tcPr>
            <w:tcW w:w="1288" w:type="pct"/>
            <w:tcBorders>
              <w:left w:val="single" w:sz="4" w:space="0" w:color="auto"/>
              <w:bottom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lang w:val="en-US"/>
              </w:rPr>
              <w:t>Sports, amusement and recreation activities</w:t>
            </w:r>
          </w:p>
        </w:tc>
        <w:tc>
          <w:tcPr>
            <w:tcW w:w="1818" w:type="pct"/>
            <w:tcBorders>
              <w:left w:val="single" w:sz="4" w:space="0" w:color="auto"/>
              <w:bottom w:val="single" w:sz="4" w:space="0" w:color="auto"/>
              <w:right w:val="single" w:sz="4" w:space="0" w:color="auto"/>
            </w:tcBorders>
            <w:shd w:val="clear" w:color="auto" w:fill="D9D9D9" w:themeFill="background1" w:themeFillShade="D9"/>
          </w:tcPr>
          <w:p w:rsidR="0046138A" w:rsidRPr="0046138A" w:rsidRDefault="0046138A" w:rsidP="00310079">
            <w:pPr>
              <w:rPr>
                <w:rFonts w:cstheme="minorHAnsi"/>
                <w:sz w:val="18"/>
                <w:szCs w:val="18"/>
                <w:lang w:val="en-US"/>
              </w:rPr>
            </w:pPr>
            <w:r w:rsidRPr="0046138A">
              <w:rPr>
                <w:rFonts w:cstheme="minorHAnsi"/>
                <w:sz w:val="18"/>
                <w:szCs w:val="18"/>
                <w:lang w:val="en-US"/>
              </w:rPr>
              <w:t>Activities of sports clubs. Fitness facilities</w:t>
            </w:r>
          </w:p>
        </w:tc>
      </w:tr>
      <w:tr w:rsidR="0046138A" w:rsidRPr="002C107F" w:rsidTr="00310079">
        <w:trPr>
          <w:trHeight w:val="335"/>
        </w:trPr>
        <w:tc>
          <w:tcPr>
            <w:tcW w:w="1894" w:type="pct"/>
            <w:tcBorders>
              <w:left w:val="single" w:sz="4" w:space="0" w:color="auto"/>
              <w:bottom w:val="single" w:sz="4" w:space="0" w:color="auto"/>
              <w:right w:val="single" w:sz="4" w:space="0" w:color="auto"/>
            </w:tcBorders>
            <w:shd w:val="clear" w:color="auto" w:fill="BFBFBF" w:themeFill="background1" w:themeFillShade="BF"/>
            <w:vAlign w:val="center"/>
          </w:tcPr>
          <w:p w:rsidR="0046138A" w:rsidRPr="0046138A" w:rsidRDefault="0046138A" w:rsidP="00310079">
            <w:pPr>
              <w:rPr>
                <w:rFonts w:cstheme="minorHAnsi"/>
                <w:color w:val="000000"/>
                <w:sz w:val="18"/>
                <w:szCs w:val="18"/>
                <w:lang w:val="en-US"/>
              </w:rPr>
            </w:pPr>
            <w:r w:rsidRPr="0046138A">
              <w:rPr>
                <w:rFonts w:cstheme="minorHAnsi"/>
                <w:color w:val="000000"/>
                <w:sz w:val="18"/>
                <w:szCs w:val="18"/>
                <w:lang w:val="en-US"/>
              </w:rPr>
              <w:t>11 - Retail trade of country specific goods</w:t>
            </w:r>
          </w:p>
        </w:tc>
        <w:tc>
          <w:tcPr>
            <w:tcW w:w="12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Retail trade, except of motor vehicles and motorcycles</w:t>
            </w:r>
          </w:p>
        </w:tc>
        <w:tc>
          <w:tcPr>
            <w:tcW w:w="1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8A" w:rsidRPr="0046138A" w:rsidRDefault="0046138A" w:rsidP="00310079">
            <w:pPr>
              <w:rPr>
                <w:rFonts w:cstheme="minorHAnsi"/>
                <w:sz w:val="18"/>
                <w:szCs w:val="18"/>
                <w:lang w:val="en-US"/>
              </w:rPr>
            </w:pPr>
            <w:r w:rsidRPr="0046138A">
              <w:rPr>
                <w:rFonts w:cstheme="minorHAnsi"/>
                <w:sz w:val="18"/>
                <w:szCs w:val="18"/>
                <w:lang w:val="en-US"/>
              </w:rPr>
              <w:t>Retail trade of country non tourism specific goods</w:t>
            </w:r>
          </w:p>
        </w:tc>
      </w:tr>
    </w:tbl>
    <w:p w:rsidR="0046138A" w:rsidRPr="0046138A" w:rsidRDefault="0046138A" w:rsidP="0046138A">
      <w:pPr>
        <w:spacing w:after="200" w:line="276" w:lineRule="auto"/>
        <w:contextualSpacing/>
        <w:rPr>
          <w:rFonts w:eastAsia="Calibri" w:cstheme="minorHAnsi"/>
          <w:b/>
          <w:sz w:val="24"/>
          <w:szCs w:val="24"/>
          <w:lang w:val="en-GB"/>
        </w:rPr>
      </w:pPr>
    </w:p>
    <w:p w:rsidR="0046138A" w:rsidRPr="00CD65C0" w:rsidRDefault="0033543B"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GB"/>
        </w:rPr>
        <w:t xml:space="preserve">As a </w:t>
      </w:r>
      <w:r w:rsidRPr="00CD65C0">
        <w:rPr>
          <w:rFonts w:eastAsia="Calibri" w:cstheme="minorHAnsi"/>
          <w:sz w:val="24"/>
          <w:szCs w:val="24"/>
          <w:lang w:val="en-US"/>
        </w:rPr>
        <w:t xml:space="preserve">first step, the </w:t>
      </w:r>
      <w:r w:rsidR="0046138A" w:rsidRPr="00CD65C0">
        <w:rPr>
          <w:rFonts w:eastAsia="Calibri" w:cstheme="minorHAnsi"/>
          <w:sz w:val="24"/>
          <w:szCs w:val="24"/>
          <w:lang w:val="en-US"/>
        </w:rPr>
        <w:t xml:space="preserve">scope of the national accounts economic activities (column 2 of </w:t>
      </w:r>
      <w:r w:rsidR="00CE2C58">
        <w:rPr>
          <w:rFonts w:eastAsia="Calibri" w:cstheme="minorHAnsi"/>
          <w:sz w:val="24"/>
          <w:szCs w:val="24"/>
          <w:lang w:val="en-US"/>
        </w:rPr>
        <w:fldChar w:fldCharType="begin"/>
      </w:r>
      <w:r w:rsidR="00CE2C58">
        <w:rPr>
          <w:rFonts w:eastAsia="Calibri" w:cstheme="minorHAnsi"/>
          <w:sz w:val="24"/>
          <w:szCs w:val="24"/>
          <w:lang w:val="en-US"/>
        </w:rPr>
        <w:instrText xml:space="preserve"> REF _Ref524340142 \h </w:instrText>
      </w:r>
      <w:r w:rsidR="00CE2C58">
        <w:rPr>
          <w:rFonts w:eastAsia="Calibri" w:cstheme="minorHAnsi"/>
          <w:sz w:val="24"/>
          <w:szCs w:val="24"/>
          <w:lang w:val="en-US"/>
        </w:rPr>
      </w:r>
      <w:r w:rsidR="00CE2C58">
        <w:rPr>
          <w:rFonts w:eastAsia="Calibri" w:cstheme="minorHAnsi"/>
          <w:sz w:val="24"/>
          <w:szCs w:val="24"/>
          <w:lang w:val="en-US"/>
        </w:rPr>
        <w:fldChar w:fldCharType="separate"/>
      </w:r>
      <w:r w:rsidR="00747D9C" w:rsidRPr="0046138A">
        <w:rPr>
          <w:rFonts w:cstheme="minorHAnsi"/>
          <w:sz w:val="24"/>
          <w:szCs w:val="24"/>
          <w:lang w:val="en-GB"/>
        </w:rPr>
        <w:t xml:space="preserve">Table </w:t>
      </w:r>
      <w:r w:rsidR="00747D9C">
        <w:rPr>
          <w:rFonts w:cstheme="minorHAnsi"/>
          <w:noProof/>
          <w:sz w:val="24"/>
          <w:szCs w:val="24"/>
          <w:lang w:val="en-GB"/>
        </w:rPr>
        <w:t>5</w:t>
      </w:r>
      <w:r w:rsidR="00CE2C58">
        <w:rPr>
          <w:rFonts w:eastAsia="Calibri" w:cstheme="minorHAnsi"/>
          <w:sz w:val="24"/>
          <w:szCs w:val="24"/>
          <w:lang w:val="en-US"/>
        </w:rPr>
        <w:fldChar w:fldCharType="end"/>
      </w:r>
      <w:r w:rsidR="0046138A" w:rsidRPr="00CD65C0">
        <w:rPr>
          <w:rFonts w:eastAsia="Calibri" w:cstheme="minorHAnsi"/>
          <w:sz w:val="24"/>
          <w:szCs w:val="24"/>
          <w:lang w:val="en-US"/>
        </w:rPr>
        <w:t xml:space="preserve">) </w:t>
      </w:r>
      <w:r w:rsidRPr="00CD65C0">
        <w:rPr>
          <w:rFonts w:eastAsia="Calibri" w:cstheme="minorHAnsi"/>
          <w:sz w:val="24"/>
          <w:szCs w:val="24"/>
          <w:lang w:val="en-US"/>
        </w:rPr>
        <w:t xml:space="preserve">for which EF are already available, is compared to the scope </w:t>
      </w:r>
      <w:r w:rsidR="0073657F">
        <w:rPr>
          <w:rFonts w:eastAsia="Calibri" w:cstheme="minorHAnsi"/>
          <w:sz w:val="24"/>
          <w:szCs w:val="24"/>
          <w:lang w:val="en-US"/>
        </w:rPr>
        <w:t xml:space="preserve">of </w:t>
      </w:r>
      <w:r w:rsidRPr="00CD65C0">
        <w:rPr>
          <w:rFonts w:eastAsia="Calibri" w:cstheme="minorHAnsi"/>
          <w:sz w:val="24"/>
          <w:szCs w:val="24"/>
          <w:lang w:val="en-US"/>
        </w:rPr>
        <w:t xml:space="preserve">the corresponding tourism </w:t>
      </w:r>
      <w:r w:rsidR="0006731D" w:rsidRPr="00CD65C0">
        <w:rPr>
          <w:rFonts w:eastAsia="Calibri" w:cstheme="minorHAnsi"/>
          <w:sz w:val="24"/>
          <w:szCs w:val="24"/>
          <w:lang w:val="en-US"/>
        </w:rPr>
        <w:t>industry</w:t>
      </w:r>
      <w:r w:rsidRPr="00CD65C0">
        <w:rPr>
          <w:rFonts w:eastAsia="Calibri" w:cstheme="minorHAnsi"/>
          <w:sz w:val="24"/>
          <w:szCs w:val="24"/>
          <w:lang w:val="en-US"/>
        </w:rPr>
        <w:t xml:space="preserve"> (column 1)</w:t>
      </w:r>
      <w:r w:rsidR="0046138A" w:rsidRPr="00CD65C0">
        <w:rPr>
          <w:rFonts w:eastAsia="Calibri" w:cstheme="minorHAnsi"/>
          <w:sz w:val="24"/>
          <w:szCs w:val="24"/>
          <w:lang w:val="en-US"/>
        </w:rPr>
        <w:t xml:space="preserve">; </w:t>
      </w:r>
      <w:r w:rsidRPr="00CD65C0">
        <w:rPr>
          <w:rFonts w:eastAsia="Calibri" w:cstheme="minorHAnsi"/>
          <w:sz w:val="24"/>
          <w:szCs w:val="24"/>
          <w:lang w:val="en-US"/>
        </w:rPr>
        <w:t xml:space="preserve">column 3 of </w:t>
      </w:r>
      <w:r w:rsidR="00CE2C58">
        <w:rPr>
          <w:rFonts w:eastAsia="Calibri" w:cstheme="minorHAnsi"/>
          <w:sz w:val="24"/>
          <w:szCs w:val="24"/>
          <w:lang w:val="en-US"/>
        </w:rPr>
        <w:fldChar w:fldCharType="begin"/>
      </w:r>
      <w:r w:rsidR="00CE2C58">
        <w:rPr>
          <w:rFonts w:eastAsia="Calibri" w:cstheme="minorHAnsi"/>
          <w:sz w:val="24"/>
          <w:szCs w:val="24"/>
          <w:lang w:val="en-US"/>
        </w:rPr>
        <w:instrText xml:space="preserve"> REF _Ref524340142 \h </w:instrText>
      </w:r>
      <w:r w:rsidR="00CE2C58">
        <w:rPr>
          <w:rFonts w:eastAsia="Calibri" w:cstheme="minorHAnsi"/>
          <w:sz w:val="24"/>
          <w:szCs w:val="24"/>
          <w:lang w:val="en-US"/>
        </w:rPr>
      </w:r>
      <w:r w:rsidR="00CE2C58">
        <w:rPr>
          <w:rFonts w:eastAsia="Calibri" w:cstheme="minorHAnsi"/>
          <w:sz w:val="24"/>
          <w:szCs w:val="24"/>
          <w:lang w:val="en-US"/>
        </w:rPr>
        <w:fldChar w:fldCharType="separate"/>
      </w:r>
      <w:r w:rsidR="00747D9C" w:rsidRPr="0046138A">
        <w:rPr>
          <w:rFonts w:cstheme="minorHAnsi"/>
          <w:sz w:val="24"/>
          <w:szCs w:val="24"/>
          <w:lang w:val="en-GB"/>
        </w:rPr>
        <w:t xml:space="preserve">Table </w:t>
      </w:r>
      <w:r w:rsidR="00747D9C">
        <w:rPr>
          <w:rFonts w:cstheme="minorHAnsi"/>
          <w:noProof/>
          <w:sz w:val="24"/>
          <w:szCs w:val="24"/>
          <w:lang w:val="en-GB"/>
        </w:rPr>
        <w:t>5</w:t>
      </w:r>
      <w:r w:rsidR="00CE2C58">
        <w:rPr>
          <w:rFonts w:eastAsia="Calibri" w:cstheme="minorHAnsi"/>
          <w:sz w:val="24"/>
          <w:szCs w:val="24"/>
          <w:lang w:val="en-US"/>
        </w:rPr>
        <w:fldChar w:fldCharType="end"/>
      </w:r>
      <w:r w:rsidRPr="00CD65C0">
        <w:rPr>
          <w:rFonts w:eastAsia="Calibri" w:cstheme="minorHAnsi"/>
          <w:sz w:val="24"/>
          <w:szCs w:val="24"/>
          <w:lang w:val="en-US"/>
        </w:rPr>
        <w:t xml:space="preserve"> specifies </w:t>
      </w:r>
      <w:r w:rsidR="0046138A" w:rsidRPr="00CD65C0">
        <w:rPr>
          <w:rFonts w:eastAsia="Calibri" w:cstheme="minorHAnsi"/>
          <w:sz w:val="24"/>
          <w:szCs w:val="24"/>
          <w:lang w:val="en-US"/>
        </w:rPr>
        <w:t xml:space="preserve">the </w:t>
      </w:r>
      <w:r w:rsidRPr="00CD65C0">
        <w:rPr>
          <w:rFonts w:eastAsia="Calibri" w:cstheme="minorHAnsi"/>
          <w:sz w:val="24"/>
          <w:szCs w:val="24"/>
          <w:lang w:val="en-US"/>
        </w:rPr>
        <w:t xml:space="preserve">actual </w:t>
      </w:r>
      <w:r w:rsidR="0046138A" w:rsidRPr="00CD65C0">
        <w:rPr>
          <w:rFonts w:eastAsia="Calibri" w:cstheme="minorHAnsi"/>
          <w:sz w:val="24"/>
          <w:szCs w:val="24"/>
          <w:lang w:val="en-US"/>
        </w:rPr>
        <w:t xml:space="preserve">difference in scope </w:t>
      </w:r>
      <w:r w:rsidRPr="00CD65C0">
        <w:rPr>
          <w:rFonts w:eastAsia="Calibri" w:cstheme="minorHAnsi"/>
          <w:sz w:val="24"/>
          <w:szCs w:val="24"/>
          <w:lang w:val="en-US"/>
        </w:rPr>
        <w:t>for each case</w:t>
      </w:r>
      <w:r w:rsidR="0046138A" w:rsidRPr="00CD65C0">
        <w:rPr>
          <w:rFonts w:eastAsia="Calibri" w:cstheme="minorHAnsi"/>
          <w:sz w:val="24"/>
          <w:szCs w:val="24"/>
          <w:lang w:val="en-US"/>
        </w:rPr>
        <w:t xml:space="preserve">.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If a national accounts economic activity (col 2) and the corresponding tourism industry (col 1) have the same scope (no difference reported in column 3)</w:t>
      </w:r>
      <w:r w:rsidR="0006731D" w:rsidRPr="00CD65C0">
        <w:rPr>
          <w:rFonts w:eastAsia="Calibri" w:cstheme="minorHAnsi"/>
          <w:sz w:val="24"/>
          <w:szCs w:val="24"/>
          <w:lang w:val="en-US"/>
        </w:rPr>
        <w:t xml:space="preserve">, </w:t>
      </w:r>
      <w:r w:rsidRPr="00CD65C0">
        <w:rPr>
          <w:rFonts w:eastAsia="Calibri" w:cstheme="minorHAnsi"/>
          <w:sz w:val="24"/>
          <w:szCs w:val="24"/>
          <w:lang w:val="en-US"/>
        </w:rPr>
        <w:t xml:space="preserve">the </w:t>
      </w:r>
      <w:r w:rsidR="0006731D" w:rsidRPr="00CD65C0">
        <w:rPr>
          <w:rFonts w:eastAsia="Calibri" w:cstheme="minorHAnsi"/>
          <w:sz w:val="24"/>
          <w:szCs w:val="24"/>
          <w:lang w:val="en-US"/>
        </w:rPr>
        <w:t xml:space="preserve">environmental flow of the tourism industry is equal to the </w:t>
      </w:r>
      <w:r w:rsidRPr="00CD65C0">
        <w:rPr>
          <w:rFonts w:eastAsia="Calibri" w:cstheme="minorHAnsi"/>
          <w:sz w:val="24"/>
          <w:szCs w:val="24"/>
          <w:lang w:val="en-US"/>
        </w:rPr>
        <w:t xml:space="preserve">(known) environmental flow of the specific </w:t>
      </w:r>
      <w:r w:rsidR="0006731D" w:rsidRPr="00CD65C0">
        <w:rPr>
          <w:rFonts w:eastAsia="Calibri" w:cstheme="minorHAnsi"/>
          <w:sz w:val="24"/>
          <w:szCs w:val="24"/>
          <w:lang w:val="en-US"/>
        </w:rPr>
        <w:t xml:space="preserve">corresponding </w:t>
      </w:r>
      <w:r w:rsidRPr="00CD65C0">
        <w:rPr>
          <w:rFonts w:eastAsia="Calibri" w:cstheme="minorHAnsi"/>
          <w:sz w:val="24"/>
          <w:szCs w:val="24"/>
          <w:lang w:val="en-US"/>
        </w:rPr>
        <w:t xml:space="preserve">national accounts economic activity: </w:t>
      </w:r>
    </w:p>
    <w:p w:rsidR="0046138A" w:rsidRPr="00CD65C0" w:rsidRDefault="0046138A" w:rsidP="00CD65C0">
      <w:pPr>
        <w:numPr>
          <w:ilvl w:val="1"/>
          <w:numId w:val="9"/>
        </w:numPr>
        <w:spacing w:after="200" w:line="276" w:lineRule="auto"/>
        <w:contextualSpacing/>
        <w:jc w:val="both"/>
        <w:rPr>
          <w:rFonts w:eastAsia="Calibri" w:cstheme="minorHAnsi"/>
          <w:b/>
          <w:sz w:val="24"/>
          <w:szCs w:val="24"/>
          <w:lang w:val="en-GB"/>
        </w:rPr>
      </w:pPr>
      <w:r w:rsidRPr="00CD65C0">
        <w:rPr>
          <w:rFonts w:eastAsia="Calibri" w:cstheme="minorHAnsi"/>
          <w:b/>
          <w:sz w:val="24"/>
          <w:szCs w:val="24"/>
          <w:lang w:val="en-GB"/>
        </w:rPr>
        <w:t>EF_EMI_TOURind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xml:space="preserve"> = EF_EMI_NA</w:t>
      </w:r>
      <w:r w:rsidRPr="00CD65C0">
        <w:rPr>
          <w:rFonts w:eastAsia="Calibri" w:cstheme="minorHAnsi"/>
          <w:b/>
          <w:sz w:val="24"/>
          <w:szCs w:val="24"/>
          <w:vertAlign w:val="subscript"/>
          <w:lang w:val="en-US"/>
        </w:rPr>
        <w:t>(j)</w:t>
      </w:r>
      <w:r w:rsidRPr="00CD65C0">
        <w:rPr>
          <w:rFonts w:eastAsia="Calibri" w:cstheme="minorHAnsi"/>
          <w:b/>
          <w:sz w:val="24"/>
          <w:szCs w:val="24"/>
          <w:lang w:val="en-GB"/>
        </w:rPr>
        <w:t xml:space="preserve"> </w:t>
      </w:r>
      <w:r w:rsidRPr="00CD65C0">
        <w:rPr>
          <w:rFonts w:eastAsia="Calibri" w:cstheme="minorHAnsi"/>
          <w:sz w:val="24"/>
          <w:szCs w:val="24"/>
          <w:lang w:val="en-GB"/>
        </w:rPr>
        <w:t>and</w:t>
      </w:r>
      <w:r w:rsidRPr="00CD65C0">
        <w:rPr>
          <w:rFonts w:eastAsia="Calibri" w:cstheme="minorHAnsi"/>
          <w:b/>
          <w:sz w:val="24"/>
          <w:szCs w:val="24"/>
          <w:lang w:val="en-GB"/>
        </w:rPr>
        <w:t xml:space="preserve"> </w:t>
      </w:r>
    </w:p>
    <w:p w:rsidR="0046138A" w:rsidRPr="00CD65C0" w:rsidRDefault="0046138A" w:rsidP="00C069FF">
      <w:pPr>
        <w:numPr>
          <w:ilvl w:val="1"/>
          <w:numId w:val="9"/>
        </w:numPr>
        <w:spacing w:after="200" w:line="276" w:lineRule="auto"/>
        <w:contextualSpacing/>
        <w:jc w:val="both"/>
        <w:rPr>
          <w:rFonts w:eastAsia="Calibri" w:cstheme="minorHAnsi"/>
          <w:b/>
          <w:sz w:val="24"/>
          <w:szCs w:val="24"/>
          <w:lang w:val="en-GB"/>
        </w:rPr>
      </w:pPr>
      <w:r w:rsidRPr="00CD65C0">
        <w:rPr>
          <w:rFonts w:eastAsia="Calibri" w:cstheme="minorHAnsi"/>
          <w:b/>
          <w:sz w:val="24"/>
          <w:szCs w:val="24"/>
          <w:lang w:val="en-GB"/>
        </w:rPr>
        <w:t>EF_EUQ_TOURind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xml:space="preserve"> = EF_EUQ_NA</w:t>
      </w:r>
      <w:r w:rsidRPr="00CD65C0">
        <w:rPr>
          <w:rFonts w:eastAsia="Calibri" w:cstheme="minorHAnsi"/>
          <w:b/>
          <w:sz w:val="24"/>
          <w:szCs w:val="24"/>
          <w:vertAlign w:val="subscript"/>
          <w:lang w:val="en-US"/>
        </w:rPr>
        <w:t xml:space="preserve">(j) </w:t>
      </w:r>
      <w:r w:rsidRPr="00CD65C0">
        <w:rPr>
          <w:rFonts w:eastAsia="Calibri" w:cstheme="minorHAnsi"/>
          <w:sz w:val="24"/>
          <w:szCs w:val="24"/>
          <w:lang w:val="en-US"/>
        </w:rPr>
        <w:t xml:space="preserve">(where </w:t>
      </w:r>
      <w:r w:rsidRPr="00CD65C0">
        <w:rPr>
          <w:rFonts w:eastAsia="Calibri" w:cstheme="minorHAnsi"/>
          <w:b/>
          <w:i/>
          <w:sz w:val="24"/>
          <w:szCs w:val="24"/>
          <w:lang w:val="en-US"/>
        </w:rPr>
        <w:t>i</w:t>
      </w:r>
      <w:r w:rsidRPr="00CD65C0">
        <w:rPr>
          <w:rFonts w:eastAsia="Calibri" w:cstheme="minorHAnsi"/>
          <w:i/>
          <w:sz w:val="24"/>
          <w:szCs w:val="24"/>
          <w:lang w:val="en-US"/>
        </w:rPr>
        <w:t xml:space="preserve"> </w:t>
      </w:r>
      <w:r w:rsidRPr="00CD65C0">
        <w:rPr>
          <w:rFonts w:eastAsia="Calibri" w:cstheme="minorHAnsi"/>
          <w:sz w:val="24"/>
          <w:szCs w:val="24"/>
          <w:lang w:val="en-US"/>
        </w:rPr>
        <w:t>are the 11 tourism industries listed in</w:t>
      </w:r>
      <w:r w:rsidR="005B3517">
        <w:rPr>
          <w:rFonts w:eastAsia="Calibri" w:cstheme="minorHAnsi"/>
          <w:sz w:val="24"/>
          <w:szCs w:val="24"/>
          <w:lang w:val="en-US"/>
        </w:rPr>
        <w:t xml:space="preserve"> </w:t>
      </w:r>
      <w:r w:rsidR="005B3517">
        <w:rPr>
          <w:rFonts w:eastAsia="Calibri" w:cstheme="minorHAnsi"/>
          <w:sz w:val="24"/>
          <w:szCs w:val="24"/>
          <w:lang w:val="en-US"/>
        </w:rPr>
        <w:fldChar w:fldCharType="begin"/>
      </w:r>
      <w:r w:rsidR="005B3517">
        <w:rPr>
          <w:rFonts w:eastAsia="Calibri" w:cstheme="minorHAnsi"/>
          <w:sz w:val="24"/>
          <w:szCs w:val="24"/>
          <w:lang w:val="en-US"/>
        </w:rPr>
        <w:instrText xml:space="preserve"> REF _Ref524340142 \h </w:instrText>
      </w:r>
      <w:r w:rsidR="005B3517">
        <w:rPr>
          <w:rFonts w:eastAsia="Calibri" w:cstheme="minorHAnsi"/>
          <w:sz w:val="24"/>
          <w:szCs w:val="24"/>
          <w:lang w:val="en-US"/>
        </w:rPr>
      </w:r>
      <w:r w:rsidR="005B3517">
        <w:rPr>
          <w:rFonts w:eastAsia="Calibri" w:cstheme="minorHAnsi"/>
          <w:sz w:val="24"/>
          <w:szCs w:val="24"/>
          <w:lang w:val="en-US"/>
        </w:rPr>
        <w:fldChar w:fldCharType="separate"/>
      </w:r>
      <w:r w:rsidR="005B3517" w:rsidRPr="0046138A">
        <w:rPr>
          <w:rFonts w:cstheme="minorHAnsi"/>
          <w:sz w:val="24"/>
          <w:szCs w:val="24"/>
          <w:lang w:val="en-GB"/>
        </w:rPr>
        <w:t xml:space="preserve">Table </w:t>
      </w:r>
      <w:r w:rsidR="005B3517">
        <w:rPr>
          <w:rFonts w:cstheme="minorHAnsi"/>
          <w:noProof/>
          <w:sz w:val="24"/>
          <w:szCs w:val="24"/>
          <w:lang w:val="en-GB"/>
        </w:rPr>
        <w:t>5</w:t>
      </w:r>
      <w:r w:rsidR="005B3517">
        <w:rPr>
          <w:rFonts w:eastAsia="Calibri" w:cstheme="minorHAnsi"/>
          <w:sz w:val="24"/>
          <w:szCs w:val="24"/>
          <w:lang w:val="en-US"/>
        </w:rPr>
        <w:fldChar w:fldCharType="end"/>
      </w:r>
      <w:r w:rsidR="005B3517">
        <w:rPr>
          <w:rFonts w:eastAsia="Calibri" w:cstheme="minorHAnsi"/>
          <w:sz w:val="24"/>
          <w:szCs w:val="24"/>
          <w:lang w:val="en-US"/>
        </w:rPr>
        <w:t xml:space="preserve"> </w:t>
      </w:r>
      <w:r w:rsidR="005B3517" w:rsidRPr="00CD65C0">
        <w:rPr>
          <w:rFonts w:eastAsia="Calibri" w:cstheme="minorHAnsi"/>
          <w:sz w:val="24"/>
          <w:szCs w:val="24"/>
          <w:lang w:val="en-US"/>
        </w:rPr>
        <w:t xml:space="preserve">and </w:t>
      </w:r>
      <w:r w:rsidR="005B3517" w:rsidRPr="00CD65C0">
        <w:rPr>
          <w:rFonts w:eastAsia="Calibri" w:cstheme="minorHAnsi"/>
          <w:b/>
          <w:i/>
          <w:sz w:val="24"/>
          <w:szCs w:val="24"/>
          <w:lang w:val="en-US"/>
        </w:rPr>
        <w:t>j</w:t>
      </w:r>
      <w:r w:rsidR="005B3517" w:rsidRPr="00CD65C0">
        <w:rPr>
          <w:rFonts w:eastAsia="Calibri" w:cstheme="minorHAnsi"/>
          <w:sz w:val="24"/>
          <w:szCs w:val="24"/>
          <w:lang w:val="en-US"/>
        </w:rPr>
        <w:t xml:space="preserve"> are the corresponding national accounts economic activities)</w:t>
      </w:r>
      <w:r w:rsidRPr="00CD65C0">
        <w:rPr>
          <w:rStyle w:val="Fotnotsreferens"/>
          <w:rFonts w:eastAsia="Calibri" w:cstheme="minorHAnsi"/>
          <w:sz w:val="24"/>
          <w:szCs w:val="24"/>
          <w:lang w:val="en-US"/>
        </w:rPr>
        <w:footnoteReference w:id="16"/>
      </w:r>
      <w:r w:rsidRPr="00CD65C0">
        <w:rPr>
          <w:rFonts w:eastAsia="Calibri" w:cstheme="minorHAnsi"/>
          <w:sz w:val="24"/>
          <w:szCs w:val="24"/>
          <w:lang w:val="en-GB"/>
        </w:rPr>
        <w:t>.</w:t>
      </w:r>
      <w:r w:rsidRPr="00CD65C0">
        <w:rPr>
          <w:rFonts w:eastAsia="Calibri" w:cstheme="minorHAnsi"/>
          <w:b/>
          <w:sz w:val="24"/>
          <w:szCs w:val="24"/>
          <w:lang w:val="en-GB"/>
        </w:rPr>
        <w:t xml:space="preserve"> </w:t>
      </w:r>
    </w:p>
    <w:p w:rsidR="001C11F7"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If the scope of tourism industry is </w:t>
      </w:r>
      <w:r w:rsidRPr="00CD65C0">
        <w:rPr>
          <w:rFonts w:eastAsia="Calibri" w:cstheme="minorHAnsi"/>
          <w:b/>
          <w:sz w:val="24"/>
          <w:szCs w:val="24"/>
          <w:lang w:val="en-US"/>
        </w:rPr>
        <w:t>smaller</w:t>
      </w:r>
      <w:r w:rsidRPr="00CD65C0">
        <w:rPr>
          <w:rFonts w:eastAsia="Calibri" w:cstheme="minorHAnsi"/>
          <w:sz w:val="24"/>
          <w:szCs w:val="24"/>
          <w:lang w:val="en-US"/>
        </w:rPr>
        <w:t xml:space="preserve"> than the corresponding NA economic activity, the amount of environmental flow </w:t>
      </w:r>
      <w:r w:rsidR="001C11F7" w:rsidRPr="00CD65C0">
        <w:rPr>
          <w:rFonts w:eastAsia="Calibri" w:cstheme="minorHAnsi"/>
          <w:sz w:val="24"/>
          <w:szCs w:val="24"/>
          <w:lang w:val="en-US"/>
        </w:rPr>
        <w:t xml:space="preserve">for </w:t>
      </w:r>
      <w:r w:rsidRPr="00CD65C0">
        <w:rPr>
          <w:rFonts w:eastAsia="Calibri" w:cstheme="minorHAnsi"/>
          <w:sz w:val="24"/>
          <w:szCs w:val="24"/>
          <w:lang w:val="en-US"/>
        </w:rPr>
        <w:t>the tourism industry is calculated</w:t>
      </w:r>
      <w:r w:rsidR="001C11F7" w:rsidRPr="00CD65C0">
        <w:rPr>
          <w:rFonts w:eastAsia="Calibri" w:cstheme="minorHAnsi"/>
          <w:sz w:val="24"/>
          <w:szCs w:val="24"/>
          <w:lang w:val="en-US"/>
        </w:rPr>
        <w:t xml:space="preserve"> consistently as far as possible with the method applied to estimate output in the Italian TSA</w:t>
      </w:r>
      <w:r w:rsidRPr="00CD65C0">
        <w:rPr>
          <w:rFonts w:eastAsia="Calibri" w:cstheme="minorHAnsi"/>
          <w:sz w:val="24"/>
          <w:szCs w:val="24"/>
          <w:lang w:val="en-US"/>
        </w:rPr>
        <w:t>.</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 In the Italian TSA, output by tourism industry is estimated by breaking down NA output at the NACE class level (4-digit) and summing up as tourism output only the classes actually falling within the scope of tourism (that is to say, subtracting from NA activity output the portion of output related to classes falling outside the scope of tourism). In estimating environmental flows, the </w:t>
      </w:r>
      <w:r w:rsidRPr="00CD65C0">
        <w:rPr>
          <w:rFonts w:eastAsia="Calibri" w:cstheme="minorHAnsi"/>
          <w:b/>
          <w:sz w:val="24"/>
          <w:szCs w:val="24"/>
          <w:lang w:val="en-US"/>
        </w:rPr>
        <w:t>first best option</w:t>
      </w:r>
      <w:r w:rsidRPr="00CD65C0">
        <w:rPr>
          <w:rFonts w:eastAsia="Calibri" w:cstheme="minorHAnsi"/>
          <w:sz w:val="24"/>
          <w:szCs w:val="24"/>
          <w:lang w:val="en-US"/>
        </w:rPr>
        <w:t xml:space="preserve"> </w:t>
      </w:r>
      <w:r w:rsidR="001C11F7" w:rsidRPr="00CD65C0">
        <w:rPr>
          <w:rFonts w:eastAsia="Calibri" w:cstheme="minorHAnsi"/>
          <w:sz w:val="24"/>
          <w:szCs w:val="24"/>
          <w:lang w:val="en-US"/>
        </w:rPr>
        <w:t>is</w:t>
      </w:r>
      <w:r w:rsidRPr="00CD65C0">
        <w:rPr>
          <w:rFonts w:eastAsia="Calibri" w:cstheme="minorHAnsi"/>
          <w:sz w:val="24"/>
          <w:szCs w:val="24"/>
          <w:lang w:val="en-US"/>
        </w:rPr>
        <w:t xml:space="preserve"> to exactly match the TSA output method, i.e. to quantify the specific amount of emissions/energy inputs related to activities falling within the tourism scope (that is to say, subtracting from NA activity-environmental flow the portion related to classes falling outside the scope of tourism)</w:t>
      </w:r>
      <w:r w:rsidR="00487433" w:rsidRPr="00487433">
        <w:rPr>
          <w:rStyle w:val="Fotnotsreferens"/>
          <w:rFonts w:eastAsia="Calibri" w:cstheme="minorHAnsi"/>
          <w:sz w:val="24"/>
          <w:szCs w:val="24"/>
          <w:lang w:val="en-US"/>
        </w:rPr>
        <w:t xml:space="preserve"> </w:t>
      </w:r>
      <w:r w:rsidR="00487433" w:rsidRPr="00CD65C0">
        <w:rPr>
          <w:rStyle w:val="Fotnotsreferens"/>
          <w:rFonts w:eastAsia="Calibri" w:cstheme="minorHAnsi"/>
          <w:sz w:val="24"/>
          <w:szCs w:val="24"/>
          <w:lang w:val="en-US"/>
        </w:rPr>
        <w:footnoteReference w:id="17"/>
      </w:r>
      <w:r w:rsidRPr="00CD65C0">
        <w:rPr>
          <w:rFonts w:eastAsia="Calibri" w:cstheme="minorHAnsi"/>
          <w:sz w:val="24"/>
          <w:szCs w:val="24"/>
          <w:lang w:val="en-US"/>
        </w:rPr>
        <w:t xml:space="preserve">. In practice a </w:t>
      </w:r>
      <w:r w:rsidRPr="00CD65C0">
        <w:rPr>
          <w:rFonts w:eastAsia="Calibri" w:cstheme="minorHAnsi"/>
          <w:b/>
          <w:sz w:val="24"/>
          <w:szCs w:val="24"/>
          <w:lang w:val="en-US"/>
        </w:rPr>
        <w:t xml:space="preserve">second best option </w:t>
      </w:r>
      <w:r w:rsidR="001C11F7" w:rsidRPr="00CD65C0">
        <w:rPr>
          <w:rFonts w:eastAsia="Calibri" w:cstheme="minorHAnsi"/>
          <w:sz w:val="24"/>
          <w:szCs w:val="24"/>
          <w:lang w:val="en-US"/>
        </w:rPr>
        <w:t>is</w:t>
      </w:r>
      <w:r w:rsidRPr="00CD65C0">
        <w:rPr>
          <w:rFonts w:eastAsia="Calibri" w:cstheme="minorHAnsi"/>
          <w:b/>
          <w:sz w:val="24"/>
          <w:szCs w:val="24"/>
          <w:lang w:val="en-US"/>
        </w:rPr>
        <w:t xml:space="preserve"> </w:t>
      </w:r>
      <w:r w:rsidRPr="00CD65C0">
        <w:rPr>
          <w:rFonts w:eastAsia="Calibri" w:cstheme="minorHAnsi"/>
          <w:sz w:val="24"/>
          <w:szCs w:val="24"/>
          <w:lang w:val="en-US"/>
        </w:rPr>
        <w:t>applied in most cases:</w:t>
      </w:r>
    </w:p>
    <w:p w:rsidR="0046138A" w:rsidRPr="00CD65C0" w:rsidRDefault="0046138A" w:rsidP="00CD65C0">
      <w:pPr>
        <w:spacing w:after="200" w:line="276" w:lineRule="auto"/>
        <w:contextualSpacing/>
        <w:jc w:val="both"/>
        <w:rPr>
          <w:rFonts w:eastAsia="Calibri" w:cstheme="minorHAnsi"/>
          <w:b/>
          <w:sz w:val="24"/>
          <w:szCs w:val="24"/>
          <w:lang w:val="en-GB"/>
        </w:rPr>
      </w:pPr>
      <w:r w:rsidRPr="00CD65C0">
        <w:rPr>
          <w:rFonts w:eastAsia="Calibri" w:cstheme="minorHAnsi"/>
          <w:b/>
          <w:sz w:val="24"/>
          <w:szCs w:val="24"/>
          <w:lang w:val="en-GB"/>
        </w:rPr>
        <w:t xml:space="preserve">(2.1) </w:t>
      </w:r>
      <w:r w:rsidRPr="00CD65C0">
        <w:rPr>
          <w:rFonts w:eastAsia="Calibri" w:cstheme="minorHAnsi"/>
          <w:b/>
          <w:sz w:val="24"/>
          <w:szCs w:val="24"/>
          <w:lang w:val="en-GB"/>
        </w:rPr>
        <w:tab/>
        <w:t>EF_EMI_TOURind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EF_EMI_NA</w:t>
      </w:r>
      <w:r w:rsidRPr="00CD65C0">
        <w:rPr>
          <w:rFonts w:eastAsia="Calibri" w:cstheme="minorHAnsi"/>
          <w:b/>
          <w:sz w:val="24"/>
          <w:szCs w:val="24"/>
          <w:vertAlign w:val="subscript"/>
          <w:lang w:val="en-US"/>
        </w:rPr>
        <w:t>(j)</w:t>
      </w:r>
      <w:r w:rsidRPr="00CD65C0">
        <w:rPr>
          <w:rFonts w:eastAsia="Calibri" w:cstheme="minorHAnsi"/>
          <w:b/>
          <w:sz w:val="24"/>
          <w:szCs w:val="24"/>
          <w:lang w:val="en-GB"/>
        </w:rPr>
        <w:t xml:space="preserve"> * output_TOURind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output_NA</w:t>
      </w:r>
      <w:r w:rsidRPr="00CD65C0">
        <w:rPr>
          <w:rFonts w:eastAsia="Calibri" w:cstheme="minorHAnsi"/>
          <w:b/>
          <w:sz w:val="24"/>
          <w:szCs w:val="24"/>
          <w:vertAlign w:val="subscript"/>
          <w:lang w:val="en-US"/>
        </w:rPr>
        <w:t>(j)</w:t>
      </w:r>
    </w:p>
    <w:p w:rsidR="0046138A" w:rsidRPr="00CD65C0" w:rsidRDefault="0046138A" w:rsidP="00CD65C0">
      <w:pPr>
        <w:spacing w:after="200" w:line="276" w:lineRule="auto"/>
        <w:contextualSpacing/>
        <w:jc w:val="both"/>
        <w:rPr>
          <w:rFonts w:eastAsia="Calibri" w:cstheme="minorHAnsi"/>
          <w:sz w:val="24"/>
          <w:szCs w:val="24"/>
          <w:lang w:val="en-GB"/>
        </w:rPr>
      </w:pPr>
      <w:r w:rsidRPr="00CD65C0">
        <w:rPr>
          <w:rFonts w:eastAsia="Calibri" w:cstheme="minorHAnsi"/>
          <w:b/>
          <w:sz w:val="24"/>
          <w:szCs w:val="24"/>
          <w:lang w:val="en-GB"/>
        </w:rPr>
        <w:t xml:space="preserve">(2.2) </w:t>
      </w:r>
      <w:r w:rsidRPr="00CD65C0">
        <w:rPr>
          <w:rFonts w:eastAsia="Calibri" w:cstheme="minorHAnsi"/>
          <w:b/>
          <w:sz w:val="24"/>
          <w:szCs w:val="24"/>
          <w:lang w:val="en-GB"/>
        </w:rPr>
        <w:tab/>
        <w:t>EF_EUQ_TOURind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EF_EUQ_NA</w:t>
      </w:r>
      <w:r w:rsidRPr="00CD65C0">
        <w:rPr>
          <w:rFonts w:eastAsia="Calibri" w:cstheme="minorHAnsi"/>
          <w:b/>
          <w:sz w:val="24"/>
          <w:szCs w:val="24"/>
          <w:vertAlign w:val="subscript"/>
          <w:lang w:val="en-US"/>
        </w:rPr>
        <w:t>(j)</w:t>
      </w:r>
      <w:r w:rsidRPr="00CD65C0">
        <w:rPr>
          <w:rFonts w:eastAsia="Calibri" w:cstheme="minorHAnsi"/>
          <w:b/>
          <w:sz w:val="24"/>
          <w:szCs w:val="24"/>
          <w:lang w:val="en-GB"/>
        </w:rPr>
        <w:t xml:space="preserve"> * output_TOURind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output_NA</w:t>
      </w:r>
      <w:r w:rsidRPr="00CD65C0">
        <w:rPr>
          <w:rFonts w:eastAsia="Calibri" w:cstheme="minorHAnsi"/>
          <w:b/>
          <w:sz w:val="24"/>
          <w:szCs w:val="24"/>
          <w:vertAlign w:val="subscript"/>
          <w:lang w:val="en-US"/>
        </w:rPr>
        <w:t>(j)</w:t>
      </w:r>
    </w:p>
    <w:p w:rsidR="0046138A" w:rsidRPr="00CD65C0" w:rsidRDefault="0046138A" w:rsidP="00CD65C0">
      <w:pPr>
        <w:spacing w:after="200" w:line="276" w:lineRule="auto"/>
        <w:contextualSpacing/>
        <w:jc w:val="both"/>
        <w:rPr>
          <w:rFonts w:eastAsia="Calibri" w:cstheme="minorHAnsi"/>
          <w:sz w:val="24"/>
          <w:szCs w:val="24"/>
          <w:lang w:val="en-GB"/>
        </w:rPr>
      </w:pPr>
      <w:r w:rsidRPr="00CD65C0">
        <w:rPr>
          <w:rFonts w:eastAsia="Calibri" w:cstheme="minorHAnsi"/>
          <w:sz w:val="24"/>
          <w:szCs w:val="24"/>
          <w:lang w:val="en-GB"/>
        </w:rPr>
        <w:t xml:space="preserve">i.e. the environmental flows for tourism industries </w:t>
      </w:r>
      <w:r w:rsidR="001C11F7" w:rsidRPr="00CD65C0">
        <w:rPr>
          <w:rFonts w:eastAsia="Calibri" w:cstheme="minorHAnsi"/>
          <w:sz w:val="24"/>
          <w:szCs w:val="24"/>
          <w:lang w:val="en-GB"/>
        </w:rPr>
        <w:t>are</w:t>
      </w:r>
      <w:r w:rsidRPr="00CD65C0">
        <w:rPr>
          <w:rFonts w:eastAsia="Calibri" w:cstheme="minorHAnsi"/>
          <w:sz w:val="24"/>
          <w:szCs w:val="24"/>
          <w:lang w:val="en-GB"/>
        </w:rPr>
        <w:t xml:space="preserve"> estimated as a proportion of the related NA economic activity equal to the TSA output ratio (tourism industry/NA). </w:t>
      </w:r>
    </w:p>
    <w:p w:rsidR="0046138A" w:rsidRPr="00CD65C0" w:rsidRDefault="00C07FDE" w:rsidP="00CD65C0">
      <w:pPr>
        <w:pStyle w:val="Rubrik4"/>
        <w:jc w:val="both"/>
        <w:rPr>
          <w:rFonts w:asciiTheme="minorHAnsi" w:eastAsia="Calibri" w:hAnsiTheme="minorHAnsi"/>
          <w:sz w:val="24"/>
          <w:szCs w:val="24"/>
          <w:lang w:val="en-US"/>
        </w:rPr>
      </w:pPr>
      <w:bookmarkStart w:id="21" w:name="_Toc524965947"/>
      <w:r>
        <w:rPr>
          <w:rFonts w:asciiTheme="minorHAnsi" w:eastAsia="Calibri" w:hAnsiTheme="minorHAnsi"/>
          <w:sz w:val="24"/>
          <w:szCs w:val="24"/>
          <w:lang w:val="en-US"/>
        </w:rPr>
        <w:t xml:space="preserve">2.2.2 </w:t>
      </w:r>
      <w:r w:rsidR="001C11F7" w:rsidRPr="00CD65C0">
        <w:rPr>
          <w:rFonts w:asciiTheme="minorHAnsi" w:eastAsia="Calibri" w:hAnsiTheme="minorHAnsi"/>
          <w:sz w:val="24"/>
          <w:szCs w:val="24"/>
          <w:lang w:val="en-US"/>
        </w:rPr>
        <w:t>Estimating the tourism s</w:t>
      </w:r>
      <w:r>
        <w:rPr>
          <w:rFonts w:asciiTheme="minorHAnsi" w:eastAsia="Calibri" w:hAnsiTheme="minorHAnsi"/>
          <w:sz w:val="24"/>
          <w:szCs w:val="24"/>
          <w:lang w:val="en-US"/>
        </w:rPr>
        <w:t>hare of environmental flows by tourism industry</w:t>
      </w:r>
      <w:bookmarkEnd w:id="21"/>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b/>
          <w:sz w:val="24"/>
          <w:szCs w:val="24"/>
          <w:lang w:val="en-US"/>
        </w:rPr>
        <w:t>Tourism share of environmental flows by industry</w:t>
      </w:r>
      <w:r w:rsidRPr="00CD65C0">
        <w:rPr>
          <w:rFonts w:eastAsia="Calibri" w:cstheme="minorHAnsi"/>
          <w:sz w:val="24"/>
          <w:szCs w:val="24"/>
          <w:lang w:val="en-US"/>
        </w:rPr>
        <w:t xml:space="preserve">, </w:t>
      </w:r>
      <w:r w:rsidR="00816E67" w:rsidRPr="00CD65C0">
        <w:rPr>
          <w:rFonts w:eastAsia="Calibri" w:cstheme="minorHAnsi"/>
          <w:sz w:val="24"/>
          <w:szCs w:val="24"/>
          <w:lang w:val="en-US"/>
        </w:rPr>
        <w:t xml:space="preserve">can be </w:t>
      </w:r>
      <w:r w:rsidRPr="00CD65C0">
        <w:rPr>
          <w:rFonts w:eastAsia="Calibri" w:cstheme="minorHAnsi"/>
          <w:sz w:val="24"/>
          <w:szCs w:val="24"/>
          <w:lang w:val="en-US"/>
        </w:rPr>
        <w:t>calculated on the basis of TSA tourism output ratios (output_TS(i)/output_TOURind(i)):</w:t>
      </w:r>
    </w:p>
    <w:p w:rsidR="0046138A" w:rsidRPr="00CD65C0" w:rsidRDefault="0046138A" w:rsidP="00CD65C0">
      <w:pPr>
        <w:spacing w:after="200" w:line="276" w:lineRule="auto"/>
        <w:contextualSpacing/>
        <w:jc w:val="both"/>
        <w:rPr>
          <w:rFonts w:eastAsia="Calibri" w:cstheme="minorHAnsi"/>
          <w:sz w:val="24"/>
          <w:szCs w:val="24"/>
          <w:lang w:val="en-GB"/>
        </w:rPr>
      </w:pPr>
      <w:r w:rsidRPr="00CD65C0">
        <w:rPr>
          <w:rFonts w:eastAsia="Calibri" w:cstheme="minorHAnsi"/>
          <w:b/>
          <w:sz w:val="24"/>
          <w:szCs w:val="24"/>
          <w:lang w:val="en-GB"/>
        </w:rPr>
        <w:t xml:space="preserve">(3.1) </w:t>
      </w:r>
      <w:r w:rsidRPr="00CD65C0">
        <w:rPr>
          <w:rFonts w:eastAsia="Calibri" w:cstheme="minorHAnsi"/>
          <w:b/>
          <w:sz w:val="24"/>
          <w:szCs w:val="24"/>
          <w:lang w:val="en-GB"/>
        </w:rPr>
        <w:tab/>
        <w:t>EF_EMI_TS</w:t>
      </w:r>
      <w:r w:rsidRPr="00CD65C0">
        <w:rPr>
          <w:rFonts w:eastAsia="Calibri" w:cstheme="minorHAnsi"/>
          <w:b/>
          <w:sz w:val="24"/>
          <w:szCs w:val="24"/>
          <w:vertAlign w:val="subscript"/>
          <w:lang w:val="en-US"/>
        </w:rPr>
        <w:t>(i)</w:t>
      </w:r>
      <w:r w:rsidRPr="00CD65C0">
        <w:rPr>
          <w:rFonts w:eastAsia="Calibri" w:cstheme="minorHAnsi"/>
          <w:sz w:val="24"/>
          <w:szCs w:val="24"/>
          <w:lang w:val="en-GB"/>
        </w:rPr>
        <w:t xml:space="preserve">= </w:t>
      </w:r>
      <w:r w:rsidRPr="00CD65C0">
        <w:rPr>
          <w:rFonts w:eastAsia="Calibri" w:cstheme="minorHAnsi"/>
          <w:b/>
          <w:sz w:val="24"/>
          <w:szCs w:val="24"/>
          <w:lang w:val="en-GB"/>
        </w:rPr>
        <w:t>EF_EMI_TOURind</w:t>
      </w:r>
      <w:r w:rsidRPr="00CD65C0">
        <w:rPr>
          <w:rFonts w:eastAsia="Calibri" w:cstheme="minorHAnsi"/>
          <w:b/>
          <w:sz w:val="24"/>
          <w:szCs w:val="24"/>
          <w:vertAlign w:val="subscript"/>
          <w:lang w:val="en-US"/>
        </w:rPr>
        <w:t>(i)</w:t>
      </w:r>
      <w:r w:rsidRPr="00CD65C0">
        <w:rPr>
          <w:rFonts w:eastAsia="Calibri" w:cstheme="minorHAnsi"/>
          <w:sz w:val="24"/>
          <w:szCs w:val="24"/>
          <w:lang w:val="en-GB"/>
        </w:rPr>
        <w:t xml:space="preserve"> *</w:t>
      </w:r>
      <w:r w:rsidRPr="00CD65C0">
        <w:rPr>
          <w:rFonts w:eastAsia="Calibri" w:cstheme="minorHAnsi"/>
          <w:b/>
          <w:sz w:val="24"/>
          <w:szCs w:val="24"/>
          <w:lang w:val="en-GB"/>
        </w:rPr>
        <w:t xml:space="preserve"> (output_TS</w:t>
      </w:r>
      <w:r w:rsidRPr="00CD65C0">
        <w:rPr>
          <w:rFonts w:eastAsia="Calibri" w:cstheme="minorHAnsi"/>
          <w:b/>
          <w:sz w:val="24"/>
          <w:szCs w:val="24"/>
          <w:vertAlign w:val="subscript"/>
          <w:lang w:val="en-US"/>
        </w:rPr>
        <w:t>(i)</w:t>
      </w:r>
      <w:r w:rsidRPr="00CD65C0">
        <w:rPr>
          <w:rFonts w:eastAsia="Calibri" w:cstheme="minorHAnsi"/>
          <w:b/>
          <w:sz w:val="24"/>
          <w:szCs w:val="24"/>
          <w:lang w:val="en-GB"/>
        </w:rPr>
        <w:t>/output_TOURind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b/>
          <w:sz w:val="24"/>
          <w:szCs w:val="24"/>
          <w:lang w:val="en-GB"/>
        </w:rPr>
        <w:t xml:space="preserve">(3.2) </w:t>
      </w:r>
      <w:r w:rsidRPr="00CD65C0">
        <w:rPr>
          <w:rFonts w:eastAsia="Calibri" w:cstheme="minorHAnsi"/>
          <w:b/>
          <w:sz w:val="24"/>
          <w:szCs w:val="24"/>
          <w:lang w:val="en-GB"/>
        </w:rPr>
        <w:tab/>
        <w:t>EF_EUQ_TS</w:t>
      </w:r>
      <w:r w:rsidRPr="00CD65C0">
        <w:rPr>
          <w:rFonts w:eastAsia="Calibri" w:cstheme="minorHAnsi"/>
          <w:b/>
          <w:sz w:val="24"/>
          <w:szCs w:val="24"/>
          <w:vertAlign w:val="subscript"/>
          <w:lang w:val="en-US"/>
        </w:rPr>
        <w:t>(i)</w:t>
      </w:r>
      <w:r w:rsidRPr="00CD65C0">
        <w:rPr>
          <w:rFonts w:eastAsia="Calibri" w:cstheme="minorHAnsi"/>
          <w:sz w:val="24"/>
          <w:szCs w:val="24"/>
          <w:lang w:val="en-GB"/>
        </w:rPr>
        <w:t xml:space="preserve">= </w:t>
      </w:r>
      <w:r w:rsidRPr="00CD65C0">
        <w:rPr>
          <w:rFonts w:eastAsia="Calibri" w:cstheme="minorHAnsi"/>
          <w:b/>
          <w:sz w:val="24"/>
          <w:szCs w:val="24"/>
          <w:lang w:val="en-GB"/>
        </w:rPr>
        <w:t>EF_EUQ_TOURind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 xml:space="preserve"> </w:t>
      </w:r>
      <w:r w:rsidRPr="00CD65C0">
        <w:rPr>
          <w:rFonts w:eastAsia="Calibri" w:cstheme="minorHAnsi"/>
          <w:sz w:val="24"/>
          <w:szCs w:val="24"/>
          <w:lang w:val="en-GB"/>
        </w:rPr>
        <w:t>*</w:t>
      </w:r>
      <w:r w:rsidRPr="00CD65C0">
        <w:rPr>
          <w:rFonts w:eastAsia="Calibri" w:cstheme="minorHAnsi"/>
          <w:b/>
          <w:sz w:val="24"/>
          <w:szCs w:val="24"/>
          <w:lang w:val="en-GB"/>
        </w:rPr>
        <w:t xml:space="preserve"> (output_TS</w:t>
      </w:r>
      <w:r w:rsidRPr="00CD65C0">
        <w:rPr>
          <w:rFonts w:eastAsia="Calibri" w:cstheme="minorHAnsi"/>
          <w:b/>
          <w:sz w:val="24"/>
          <w:szCs w:val="24"/>
          <w:vertAlign w:val="subscript"/>
          <w:lang w:val="en-US"/>
        </w:rPr>
        <w:t>(i)</w:t>
      </w:r>
      <w:r w:rsidRPr="00CD65C0">
        <w:rPr>
          <w:rFonts w:eastAsia="Calibri" w:cstheme="minorHAnsi"/>
          <w:b/>
          <w:sz w:val="24"/>
          <w:szCs w:val="24"/>
          <w:lang w:val="en-GB"/>
        </w:rPr>
        <w:t>/output_TOURind</w:t>
      </w:r>
      <w:r w:rsidRPr="00CD65C0">
        <w:rPr>
          <w:rFonts w:eastAsia="Calibri" w:cstheme="minorHAnsi"/>
          <w:b/>
          <w:sz w:val="24"/>
          <w:szCs w:val="24"/>
          <w:vertAlign w:val="subscript"/>
          <w:lang w:val="en-US"/>
        </w:rPr>
        <w:t>(i)</w:t>
      </w:r>
      <w:r w:rsidRPr="00CD65C0">
        <w:rPr>
          <w:rFonts w:eastAsia="Calibri" w:cstheme="minorHAnsi"/>
          <w:b/>
          <w:sz w:val="24"/>
          <w:szCs w:val="24"/>
          <w:lang w:val="en-GB"/>
        </w:rPr>
        <w:t>)</w:t>
      </w:r>
    </w:p>
    <w:p w:rsidR="0046138A" w:rsidRPr="00CD65C0" w:rsidRDefault="0046138A" w:rsidP="00CD65C0">
      <w:pPr>
        <w:spacing w:after="200" w:line="276" w:lineRule="auto"/>
        <w:contextualSpacing/>
        <w:jc w:val="both"/>
        <w:rPr>
          <w:rFonts w:eastAsia="Calibri" w:cstheme="minorHAnsi"/>
          <w:sz w:val="24"/>
          <w:szCs w:val="24"/>
          <w:lang w:val="en-US"/>
        </w:rPr>
      </w:pP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In TSA Table 6, output and output tourism share </w:t>
      </w:r>
      <w:r w:rsidRPr="00CD65C0">
        <w:rPr>
          <w:rFonts w:eastAsia="Calibri" w:cstheme="minorHAnsi"/>
          <w:sz w:val="24"/>
          <w:szCs w:val="24"/>
          <w:lang w:val="en-GB"/>
        </w:rPr>
        <w:t xml:space="preserve">are available not only by tourism industry, but also, for each tourism industry, by individual product. </w:t>
      </w:r>
      <w:r w:rsidRPr="00CD65C0">
        <w:rPr>
          <w:rFonts w:eastAsia="Calibri" w:cstheme="minorHAnsi"/>
          <w:sz w:val="24"/>
          <w:szCs w:val="24"/>
          <w:lang w:val="en-US"/>
        </w:rPr>
        <w:t xml:space="preserve">Ideally, then, estimates of TSA consistent environmental flows can be based on tourism output ratios by product,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i.e. </w:t>
      </w:r>
      <w:r w:rsidRPr="00CD65C0">
        <w:rPr>
          <w:rFonts w:eastAsia="Calibri" w:cstheme="minorHAnsi"/>
          <w:b/>
          <w:sz w:val="24"/>
          <w:szCs w:val="24"/>
          <w:lang w:val="en-GB"/>
        </w:rPr>
        <w:t>output_TS</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r w:rsidRPr="00CD65C0">
        <w:rPr>
          <w:rFonts w:eastAsia="Calibri" w:cstheme="minorHAnsi"/>
          <w:b/>
          <w:sz w:val="24"/>
          <w:szCs w:val="24"/>
          <w:lang w:val="en-GB"/>
        </w:rPr>
        <w:t xml:space="preserve"> output_TOURind</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Where </w:t>
      </w:r>
      <w:r w:rsidRPr="00CD65C0">
        <w:rPr>
          <w:rFonts w:eastAsia="Calibri" w:cstheme="minorHAnsi"/>
          <w:b/>
          <w:i/>
          <w:sz w:val="24"/>
          <w:szCs w:val="24"/>
          <w:lang w:val="en-US"/>
        </w:rPr>
        <w:t>p</w:t>
      </w:r>
      <w:r w:rsidRPr="00CD65C0">
        <w:rPr>
          <w:rFonts w:eastAsia="Calibri" w:cstheme="minorHAnsi"/>
          <w:sz w:val="24"/>
          <w:szCs w:val="24"/>
          <w:lang w:val="en-US"/>
        </w:rPr>
        <w:t xml:space="preserve"> are the TSA products supplied by tourism industry </w:t>
      </w:r>
      <w:r w:rsidRPr="00CD65C0">
        <w:rPr>
          <w:rFonts w:eastAsia="Calibri" w:cstheme="minorHAnsi"/>
          <w:b/>
          <w:i/>
          <w:sz w:val="24"/>
          <w:szCs w:val="24"/>
          <w:lang w:val="en-US"/>
        </w:rPr>
        <w:t>i</w:t>
      </w:r>
      <w:r w:rsidRPr="00CD65C0">
        <w:rPr>
          <w:rFonts w:eastAsia="Calibri" w:cstheme="minorHAnsi"/>
          <w:sz w:val="24"/>
          <w:szCs w:val="24"/>
          <w:lang w:val="en-US"/>
        </w:rPr>
        <w:t xml:space="preserve">.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However, in order for the tourism output ratios by product to be actually used in the estimates, also </w:t>
      </w:r>
      <w:r w:rsidR="00517E9C" w:rsidRPr="00CD65C0">
        <w:rPr>
          <w:rFonts w:eastAsia="Calibri" w:cstheme="minorHAnsi"/>
          <w:sz w:val="24"/>
          <w:szCs w:val="24"/>
          <w:lang w:val="en-US"/>
        </w:rPr>
        <w:t xml:space="preserve">a consistent </w:t>
      </w:r>
      <w:r w:rsidRPr="00CD65C0">
        <w:rPr>
          <w:rFonts w:eastAsia="Calibri" w:cstheme="minorHAnsi"/>
          <w:sz w:val="24"/>
          <w:szCs w:val="24"/>
          <w:lang w:val="en-US"/>
        </w:rPr>
        <w:t xml:space="preserve">environmental flows breakdown by TSA product (or grouping of products) is needed.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In practice, a breakdown matching TSA products is available </w:t>
      </w:r>
      <w:r w:rsidR="00911814">
        <w:rPr>
          <w:rFonts w:eastAsia="Calibri" w:cstheme="minorHAnsi"/>
          <w:sz w:val="24"/>
          <w:szCs w:val="24"/>
          <w:lang w:val="en-US"/>
        </w:rPr>
        <w:t>in Italian official s</w:t>
      </w:r>
      <w:r w:rsidR="006D0459">
        <w:rPr>
          <w:rFonts w:eastAsia="Calibri" w:cstheme="minorHAnsi"/>
          <w:sz w:val="24"/>
          <w:szCs w:val="24"/>
          <w:lang w:val="en-US"/>
        </w:rPr>
        <w:t>ta</w:t>
      </w:r>
      <w:r w:rsidR="00911814">
        <w:rPr>
          <w:rFonts w:eastAsia="Calibri" w:cstheme="minorHAnsi"/>
          <w:sz w:val="24"/>
          <w:szCs w:val="24"/>
          <w:lang w:val="en-US"/>
        </w:rPr>
        <w:t xml:space="preserve">tistics </w:t>
      </w:r>
      <w:r w:rsidRPr="00CD65C0">
        <w:rPr>
          <w:rFonts w:eastAsia="Calibri" w:cstheme="minorHAnsi"/>
          <w:sz w:val="24"/>
          <w:szCs w:val="24"/>
          <w:lang w:val="en-US"/>
        </w:rPr>
        <w:t>for air emissions and energy use of the following tourism industries</w:t>
      </w:r>
      <w:r w:rsidR="00014B2A" w:rsidRPr="00CD65C0">
        <w:rPr>
          <w:rStyle w:val="Fotnotsreferens"/>
          <w:rFonts w:eastAsia="Calibri" w:cstheme="minorHAnsi"/>
          <w:sz w:val="24"/>
          <w:szCs w:val="24"/>
          <w:lang w:val="en-US"/>
        </w:rPr>
        <w:footnoteReference w:id="18"/>
      </w:r>
      <w:r w:rsidRPr="00CD65C0">
        <w:rPr>
          <w:rFonts w:eastAsia="Calibri" w:cstheme="minorHAnsi"/>
          <w:sz w:val="24"/>
          <w:szCs w:val="24"/>
          <w:lang w:val="en-US"/>
        </w:rPr>
        <w:t xml:space="preserve">: </w:t>
      </w:r>
    </w:p>
    <w:p w:rsidR="0046138A" w:rsidRPr="00CD65C0" w:rsidRDefault="0046138A" w:rsidP="00CD65C0">
      <w:pPr>
        <w:jc w:val="both"/>
        <w:rPr>
          <w:rFonts w:eastAsia="Calibri" w:cstheme="minorHAnsi"/>
          <w:color w:val="000000"/>
          <w:sz w:val="24"/>
          <w:szCs w:val="24"/>
          <w:lang w:val="en-US"/>
        </w:rPr>
      </w:pPr>
      <w:r w:rsidRPr="00CD65C0">
        <w:rPr>
          <w:rFonts w:eastAsia="Calibri" w:cstheme="minorHAnsi"/>
          <w:color w:val="000000"/>
          <w:sz w:val="24"/>
          <w:szCs w:val="24"/>
          <w:lang w:val="en-US"/>
        </w:rPr>
        <w:t xml:space="preserve">3- Railway passenger transport </w:t>
      </w:r>
    </w:p>
    <w:p w:rsidR="0046138A" w:rsidRPr="00CD65C0" w:rsidRDefault="0046138A" w:rsidP="00CD65C0">
      <w:pPr>
        <w:jc w:val="both"/>
        <w:rPr>
          <w:rFonts w:eastAsia="Calibri" w:cstheme="minorHAnsi"/>
          <w:color w:val="000000"/>
          <w:sz w:val="24"/>
          <w:szCs w:val="24"/>
          <w:lang w:val="en-US"/>
        </w:rPr>
      </w:pPr>
      <w:r w:rsidRPr="00CD65C0">
        <w:rPr>
          <w:rFonts w:eastAsia="Calibri" w:cstheme="minorHAnsi"/>
          <w:color w:val="000000"/>
          <w:sz w:val="24"/>
          <w:szCs w:val="24"/>
          <w:lang w:val="en-US"/>
        </w:rPr>
        <w:t>4- Road passenger transport</w:t>
      </w:r>
    </w:p>
    <w:p w:rsidR="0046138A" w:rsidRPr="00CD65C0" w:rsidRDefault="0046138A" w:rsidP="00CD65C0">
      <w:pPr>
        <w:jc w:val="both"/>
        <w:rPr>
          <w:rFonts w:eastAsia="Calibri" w:cstheme="minorHAnsi"/>
          <w:color w:val="000000"/>
          <w:sz w:val="24"/>
          <w:szCs w:val="24"/>
          <w:lang w:val="en-US"/>
        </w:rPr>
      </w:pPr>
      <w:r w:rsidRPr="00CD65C0">
        <w:rPr>
          <w:rFonts w:eastAsia="Calibri" w:cstheme="minorHAnsi"/>
          <w:color w:val="000000"/>
          <w:sz w:val="24"/>
          <w:szCs w:val="24"/>
          <w:lang w:val="en-US"/>
        </w:rPr>
        <w:t>5- Water passenger transport</w:t>
      </w:r>
    </w:p>
    <w:p w:rsidR="0046138A" w:rsidRPr="00CD65C0" w:rsidRDefault="0046138A" w:rsidP="00CD65C0">
      <w:pPr>
        <w:jc w:val="both"/>
        <w:rPr>
          <w:rFonts w:eastAsia="Calibri" w:cstheme="minorHAnsi"/>
          <w:color w:val="000000"/>
          <w:sz w:val="24"/>
          <w:szCs w:val="24"/>
          <w:lang w:val="en-US"/>
        </w:rPr>
      </w:pPr>
      <w:r w:rsidRPr="00CD65C0">
        <w:rPr>
          <w:rFonts w:eastAsia="Calibri" w:cstheme="minorHAnsi"/>
          <w:color w:val="000000"/>
          <w:sz w:val="24"/>
          <w:szCs w:val="24"/>
          <w:lang w:val="en-US"/>
        </w:rPr>
        <w:t>6- Air passenger transport</w:t>
      </w:r>
    </w:p>
    <w:p w:rsidR="0046138A" w:rsidRPr="00CD65C0" w:rsidRDefault="0046138A" w:rsidP="00CD65C0">
      <w:pPr>
        <w:spacing w:after="200" w:line="276" w:lineRule="auto"/>
        <w:contextualSpacing/>
        <w:jc w:val="both"/>
        <w:rPr>
          <w:rFonts w:eastAsia="Calibri" w:cstheme="minorHAnsi"/>
          <w:sz w:val="24"/>
          <w:szCs w:val="24"/>
          <w:lang w:val="en-US"/>
        </w:rPr>
      </w:pP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In the case of the four tourism industries that supply transport services, the emissions/energy use related  to the specific transport activity supplied can be identified as specific subsets of the total emissions/energy use of the industry. Hence, in this four cases environmental flows (EF) of the tourism industry are calculated as the sum of two components: </w:t>
      </w:r>
    </w:p>
    <w:p w:rsidR="0046138A" w:rsidRPr="00CD65C0" w:rsidRDefault="0046138A" w:rsidP="00CD65C0">
      <w:pPr>
        <w:spacing w:after="200" w:line="276" w:lineRule="auto"/>
        <w:ind w:firstLine="708"/>
        <w:contextualSpacing/>
        <w:jc w:val="both"/>
        <w:rPr>
          <w:rFonts w:eastAsia="Calibri" w:cstheme="minorHAnsi"/>
          <w:sz w:val="24"/>
          <w:szCs w:val="24"/>
          <w:lang w:val="en-US"/>
        </w:rPr>
      </w:pPr>
      <w:r w:rsidRPr="00CD65C0">
        <w:rPr>
          <w:rFonts w:eastAsia="Calibri" w:cstheme="minorHAnsi"/>
          <w:sz w:val="24"/>
          <w:szCs w:val="24"/>
          <w:lang w:val="en-US"/>
        </w:rPr>
        <w:t xml:space="preserve">1. EF related to the provision of the specific transport service (railway, road, water or air transport, respectively); </w:t>
      </w:r>
    </w:p>
    <w:p w:rsidR="0046138A" w:rsidRPr="00CD65C0" w:rsidRDefault="0046138A" w:rsidP="00CD65C0">
      <w:pPr>
        <w:spacing w:after="200" w:line="276" w:lineRule="auto"/>
        <w:ind w:firstLine="708"/>
        <w:contextualSpacing/>
        <w:jc w:val="both"/>
        <w:rPr>
          <w:rFonts w:eastAsia="Calibri" w:cstheme="minorHAnsi"/>
          <w:sz w:val="24"/>
          <w:szCs w:val="24"/>
          <w:lang w:val="en-US"/>
        </w:rPr>
      </w:pPr>
      <w:r w:rsidRPr="00CD65C0">
        <w:rPr>
          <w:rFonts w:eastAsia="Calibri" w:cstheme="minorHAnsi"/>
          <w:sz w:val="24"/>
          <w:szCs w:val="24"/>
          <w:lang w:val="en-US"/>
        </w:rPr>
        <w:t xml:space="preserve">2. EF related to the provision of all other products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Correspondingly, two product specific environmental flows can be calculated: </w:t>
      </w:r>
    </w:p>
    <w:p w:rsidR="0046138A" w:rsidRPr="00CD65C0" w:rsidRDefault="0046138A" w:rsidP="00CD65C0">
      <w:pPr>
        <w:spacing w:after="200" w:line="276" w:lineRule="auto"/>
        <w:contextualSpacing/>
        <w:jc w:val="both"/>
        <w:rPr>
          <w:rFonts w:eastAsia="Calibri" w:cstheme="minorHAnsi"/>
          <w:sz w:val="24"/>
          <w:szCs w:val="24"/>
          <w:lang w:val="en-GB"/>
        </w:rPr>
      </w:pPr>
      <w:r w:rsidRPr="00CD65C0">
        <w:rPr>
          <w:rFonts w:eastAsia="Calibri" w:cstheme="minorHAnsi"/>
          <w:b/>
          <w:sz w:val="24"/>
          <w:szCs w:val="24"/>
          <w:lang w:val="en-GB"/>
        </w:rPr>
        <w:t xml:space="preserve">(4) </w:t>
      </w:r>
      <w:r w:rsidRPr="00CD65C0">
        <w:rPr>
          <w:rFonts w:eastAsia="Calibri" w:cstheme="minorHAnsi"/>
          <w:b/>
          <w:sz w:val="24"/>
          <w:szCs w:val="24"/>
          <w:lang w:val="en-GB"/>
        </w:rPr>
        <w:tab/>
        <w:t>EF_TS</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r w:rsidRPr="00CD65C0">
        <w:rPr>
          <w:rFonts w:eastAsia="Calibri" w:cstheme="minorHAnsi"/>
          <w:sz w:val="24"/>
          <w:szCs w:val="24"/>
          <w:lang w:val="en-GB"/>
        </w:rPr>
        <w:t xml:space="preserve">= </w:t>
      </w:r>
      <w:r w:rsidRPr="00CD65C0">
        <w:rPr>
          <w:rFonts w:eastAsia="Calibri" w:cstheme="minorHAnsi"/>
          <w:b/>
          <w:sz w:val="24"/>
          <w:szCs w:val="24"/>
          <w:lang w:val="en-GB"/>
        </w:rPr>
        <w:t>EF_TOURind</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r w:rsidRPr="00CD65C0">
        <w:rPr>
          <w:rFonts w:eastAsia="Calibri" w:cstheme="minorHAnsi"/>
          <w:b/>
          <w:sz w:val="24"/>
          <w:szCs w:val="24"/>
          <w:lang w:val="en-GB"/>
        </w:rPr>
        <w:t xml:space="preserve"> </w:t>
      </w:r>
      <w:r w:rsidRPr="00CD65C0">
        <w:rPr>
          <w:rFonts w:eastAsia="Calibri" w:cstheme="minorHAnsi"/>
          <w:sz w:val="24"/>
          <w:szCs w:val="24"/>
          <w:lang w:val="en-GB"/>
        </w:rPr>
        <w:t>*</w:t>
      </w:r>
      <w:r w:rsidRPr="00CD65C0">
        <w:rPr>
          <w:rFonts w:eastAsia="Calibri" w:cstheme="minorHAnsi"/>
          <w:b/>
          <w:sz w:val="24"/>
          <w:szCs w:val="24"/>
          <w:lang w:val="en-GB"/>
        </w:rPr>
        <w:t xml:space="preserve"> (output_TS</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r w:rsidRPr="00CD65C0">
        <w:rPr>
          <w:rFonts w:eastAsia="Calibri" w:cstheme="minorHAnsi"/>
          <w:b/>
          <w:sz w:val="24"/>
          <w:szCs w:val="24"/>
          <w:lang w:val="en-GB"/>
        </w:rPr>
        <w:t>/output_TOURind</w:t>
      </w:r>
      <w:r w:rsidRPr="00CD65C0">
        <w:rPr>
          <w:rFonts w:eastAsia="Calibri" w:cstheme="minorHAnsi"/>
          <w:b/>
          <w:sz w:val="24"/>
          <w:szCs w:val="24"/>
          <w:vertAlign w:val="subscript"/>
          <w:lang w:val="en-US"/>
        </w:rPr>
        <w:t>(i</w:t>
      </w:r>
      <w:r w:rsidRPr="00CD65C0">
        <w:rPr>
          <w:rFonts w:eastAsia="Calibri" w:cstheme="minorHAnsi"/>
          <w:b/>
          <w:sz w:val="24"/>
          <w:szCs w:val="24"/>
          <w:vertAlign w:val="subscript"/>
          <w:lang w:val="en-GB"/>
        </w:rPr>
        <w:t>p)</w:t>
      </w:r>
      <w:r w:rsidRPr="00CD65C0">
        <w:rPr>
          <w:rFonts w:eastAsia="Calibri" w:cstheme="minorHAnsi"/>
          <w:b/>
          <w:sz w:val="24"/>
          <w:szCs w:val="24"/>
          <w:lang w:val="en-GB"/>
        </w:rPr>
        <w:t>)</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Where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i= 3,4,5,6 i.e. the four industries listed above </w:t>
      </w:r>
      <w:r w:rsidRPr="00CD65C0">
        <w:rPr>
          <w:rFonts w:eastAsia="Calibri" w:cstheme="minorHAnsi"/>
          <w:sz w:val="24"/>
          <w:szCs w:val="24"/>
          <w:lang w:val="en-US"/>
        </w:rPr>
        <w:tab/>
        <w:t xml:space="preserve">and </w:t>
      </w:r>
    </w:p>
    <w:p w:rsidR="0046138A" w:rsidRPr="00CD65C0" w:rsidRDefault="0046138A" w:rsidP="00CD65C0">
      <w:pPr>
        <w:spacing w:after="200" w:line="276" w:lineRule="auto"/>
        <w:contextualSpacing/>
        <w:jc w:val="both"/>
        <w:rPr>
          <w:rFonts w:eastAsia="Calibri" w:cstheme="minorHAnsi"/>
          <w:sz w:val="24"/>
          <w:szCs w:val="24"/>
          <w:lang w:val="en-US"/>
        </w:rPr>
      </w:pPr>
      <w:r w:rsidRPr="00CD65C0">
        <w:rPr>
          <w:rFonts w:eastAsia="Calibri" w:cstheme="minorHAnsi"/>
          <w:sz w:val="24"/>
          <w:szCs w:val="24"/>
          <w:lang w:val="en-US"/>
        </w:rPr>
        <w:t xml:space="preserve">p=1 (related to the specific transport mode corresponding to the principal activity of industry i), 2 (all other EF). </w:t>
      </w:r>
    </w:p>
    <w:p w:rsidR="0046138A" w:rsidRPr="00CD65C0" w:rsidRDefault="0046138A" w:rsidP="00CD65C0">
      <w:pPr>
        <w:spacing w:after="200" w:line="276" w:lineRule="auto"/>
        <w:contextualSpacing/>
        <w:jc w:val="both"/>
        <w:rPr>
          <w:rFonts w:eastAsia="Calibri" w:cstheme="minorHAnsi"/>
          <w:sz w:val="24"/>
          <w:szCs w:val="24"/>
          <w:lang w:val="en-US"/>
        </w:rPr>
      </w:pPr>
    </w:p>
    <w:p w:rsidR="0046138A" w:rsidRPr="00CD65C0" w:rsidRDefault="0046138A" w:rsidP="00CD65C0">
      <w:pPr>
        <w:jc w:val="both"/>
        <w:rPr>
          <w:rFonts w:cstheme="minorHAnsi"/>
          <w:sz w:val="24"/>
          <w:szCs w:val="24"/>
          <w:lang w:val="en-US"/>
        </w:rPr>
      </w:pPr>
      <w:r w:rsidRPr="00CD65C0">
        <w:rPr>
          <w:rFonts w:eastAsia="Calibri" w:cstheme="minorHAnsi"/>
          <w:sz w:val="24"/>
          <w:szCs w:val="24"/>
          <w:lang w:val="en-US"/>
        </w:rPr>
        <w:t>For tourism industries other than the four transport industries listed above, transport emissions in air emission accounts relate to transport as an ancillary activity and therefore cannot be related to the (secondary) output of TSA Table 6. Hence total tourism output ratios by industry (i) were used to estimate tourism share of environmental flows (see 3.1 and 3.2 above), in all cases but the four listed above.</w:t>
      </w:r>
    </w:p>
    <w:p w:rsidR="0046138A" w:rsidRPr="00CD65C0" w:rsidRDefault="0046138A" w:rsidP="00CD65C0">
      <w:pPr>
        <w:jc w:val="both"/>
        <w:rPr>
          <w:rFonts w:cstheme="minorHAnsi"/>
          <w:sz w:val="24"/>
          <w:szCs w:val="24"/>
          <w:lang w:val="en-US"/>
        </w:rPr>
      </w:pPr>
    </w:p>
    <w:p w:rsidR="009F2C89" w:rsidRDefault="00597496" w:rsidP="008B6D1C">
      <w:pPr>
        <w:pStyle w:val="Rubrik2"/>
        <w:numPr>
          <w:ilvl w:val="0"/>
          <w:numId w:val="2"/>
        </w:numPr>
        <w:spacing w:line="276" w:lineRule="auto"/>
        <w:rPr>
          <w:lang w:val="en-US"/>
        </w:rPr>
      </w:pPr>
      <w:bookmarkStart w:id="22" w:name="_Ref524623212"/>
      <w:bookmarkStart w:id="23" w:name="_Toc524965948"/>
      <w:r>
        <w:rPr>
          <w:lang w:val="en-US"/>
        </w:rPr>
        <w:t>T</w:t>
      </w:r>
      <w:r w:rsidR="003644FD">
        <w:rPr>
          <w:lang w:val="en-US"/>
        </w:rPr>
        <w:t xml:space="preserve">ourism related </w:t>
      </w:r>
      <w:r w:rsidR="009F2C89">
        <w:rPr>
          <w:lang w:val="en-US"/>
        </w:rPr>
        <w:t>environmental flows from a consumption perspective</w:t>
      </w:r>
      <w:r w:rsidR="008B6D1C">
        <w:rPr>
          <w:rStyle w:val="Fotnotsreferens"/>
          <w:lang w:val="en-US"/>
        </w:rPr>
        <w:footnoteReference w:id="19"/>
      </w:r>
      <w:bookmarkEnd w:id="22"/>
      <w:r>
        <w:rPr>
          <w:lang w:val="en-US"/>
        </w:rPr>
        <w:t>, an open question</w:t>
      </w:r>
      <w:bookmarkEnd w:id="23"/>
    </w:p>
    <w:p w:rsidR="00A2797D" w:rsidRPr="008B6D1C" w:rsidRDefault="00A2797D" w:rsidP="008B6D1C">
      <w:pPr>
        <w:jc w:val="both"/>
        <w:rPr>
          <w:rFonts w:cstheme="minorHAnsi"/>
          <w:sz w:val="24"/>
          <w:szCs w:val="24"/>
          <w:lang w:val="en-GB"/>
        </w:rPr>
      </w:pPr>
      <w:r w:rsidRPr="008B6D1C">
        <w:rPr>
          <w:rFonts w:cstheme="minorHAnsi"/>
          <w:sz w:val="24"/>
          <w:szCs w:val="24"/>
          <w:lang w:val="en-GB"/>
        </w:rPr>
        <w:t xml:space="preserve">As explained in paragraph 2, estimates of environmental flows in the Italian case study, and in other implementation studies to date, adopt a production perspective and relate to tourism industries only. </w:t>
      </w:r>
    </w:p>
    <w:p w:rsidR="00961C0F" w:rsidRPr="008B6D1C" w:rsidRDefault="00961C0F" w:rsidP="008B6D1C">
      <w:pPr>
        <w:jc w:val="both"/>
        <w:rPr>
          <w:sz w:val="24"/>
          <w:szCs w:val="24"/>
          <w:lang w:val="en-US"/>
        </w:rPr>
      </w:pPr>
      <w:r w:rsidRPr="008B6D1C">
        <w:rPr>
          <w:sz w:val="24"/>
          <w:szCs w:val="24"/>
          <w:lang w:val="en-US"/>
        </w:rPr>
        <w:t xml:space="preserve">However, </w:t>
      </w:r>
      <w:r w:rsidR="00A2797D" w:rsidRPr="008B6D1C">
        <w:rPr>
          <w:sz w:val="24"/>
          <w:szCs w:val="24"/>
          <w:lang w:val="en-US"/>
        </w:rPr>
        <w:t xml:space="preserve">the tourism environmental flow accounts </w:t>
      </w:r>
      <w:r w:rsidRPr="008B6D1C">
        <w:rPr>
          <w:sz w:val="24"/>
          <w:szCs w:val="24"/>
          <w:lang w:val="en-US"/>
        </w:rPr>
        <w:t xml:space="preserve">framework presented </w:t>
      </w:r>
      <w:r w:rsidR="00A2797D" w:rsidRPr="008B6D1C">
        <w:rPr>
          <w:sz w:val="24"/>
          <w:szCs w:val="24"/>
          <w:lang w:val="en-US"/>
        </w:rPr>
        <w:t xml:space="preserve">in the Technical Note (see Tables 1 and 2), although adopting a production perspective by representing the environmental flows related to industries, also </w:t>
      </w:r>
      <w:r w:rsidRPr="008B6D1C">
        <w:rPr>
          <w:sz w:val="24"/>
          <w:szCs w:val="24"/>
          <w:lang w:val="en-US"/>
        </w:rPr>
        <w:t xml:space="preserve">explicitly </w:t>
      </w:r>
      <w:r w:rsidR="00A2797D" w:rsidRPr="008B6D1C">
        <w:rPr>
          <w:sz w:val="24"/>
          <w:szCs w:val="24"/>
          <w:lang w:val="en-US"/>
        </w:rPr>
        <w:t xml:space="preserve">cover households’ related environmental flows. </w:t>
      </w:r>
      <w:r w:rsidRPr="008B6D1C">
        <w:rPr>
          <w:sz w:val="24"/>
          <w:szCs w:val="24"/>
          <w:lang w:val="en-US"/>
        </w:rPr>
        <w:t xml:space="preserve">This is a common feature of SEEA environmental flow accounts, where </w:t>
      </w:r>
      <w:r w:rsidR="00A2797D" w:rsidRPr="008B6D1C">
        <w:rPr>
          <w:sz w:val="24"/>
          <w:szCs w:val="24"/>
          <w:lang w:val="en-US"/>
        </w:rPr>
        <w:t xml:space="preserve">a supply based approach </w:t>
      </w:r>
      <w:r w:rsidR="00E16D22" w:rsidRPr="008B6D1C">
        <w:rPr>
          <w:sz w:val="24"/>
          <w:szCs w:val="24"/>
          <w:lang w:val="en-US"/>
        </w:rPr>
        <w:t xml:space="preserve">(environmental flows stemming from the supply of products) </w:t>
      </w:r>
      <w:r w:rsidR="00A2797D" w:rsidRPr="008B6D1C">
        <w:rPr>
          <w:sz w:val="24"/>
          <w:szCs w:val="24"/>
          <w:lang w:val="en-US"/>
        </w:rPr>
        <w:t xml:space="preserve">is complemented with the inclusion of one component related to </w:t>
      </w:r>
      <w:r w:rsidRPr="008B6D1C">
        <w:rPr>
          <w:sz w:val="24"/>
          <w:szCs w:val="24"/>
          <w:lang w:val="en-US"/>
        </w:rPr>
        <w:t>consumption</w:t>
      </w:r>
      <w:r w:rsidR="00E16D22" w:rsidRPr="008B6D1C">
        <w:rPr>
          <w:sz w:val="24"/>
          <w:szCs w:val="24"/>
          <w:lang w:val="en-US"/>
        </w:rPr>
        <w:t xml:space="preserve"> (environmental flows stemming from the use of products)</w:t>
      </w:r>
      <w:r w:rsidR="00A2797D" w:rsidRPr="008B6D1C">
        <w:rPr>
          <w:sz w:val="24"/>
          <w:szCs w:val="24"/>
          <w:lang w:val="en-US"/>
        </w:rPr>
        <w:t xml:space="preserve">, this way representing total environmental flows. </w:t>
      </w:r>
    </w:p>
    <w:p w:rsidR="00961C0F" w:rsidRPr="008B6D1C" w:rsidRDefault="00A2797D" w:rsidP="008B6D1C">
      <w:pPr>
        <w:jc w:val="both"/>
        <w:rPr>
          <w:rFonts w:cstheme="minorHAnsi"/>
          <w:sz w:val="24"/>
          <w:szCs w:val="24"/>
          <w:lang w:val="en-GB"/>
        </w:rPr>
      </w:pPr>
      <w:r w:rsidRPr="008B6D1C">
        <w:rPr>
          <w:rFonts w:cstheme="minorHAnsi"/>
          <w:sz w:val="24"/>
          <w:szCs w:val="24"/>
          <w:lang w:val="en-GB"/>
        </w:rPr>
        <w:t xml:space="preserve">Measuring also households’ related tourism environmental flows (see again Tables 1 and 2) would </w:t>
      </w:r>
      <w:r w:rsidR="00961C0F" w:rsidRPr="008B6D1C">
        <w:rPr>
          <w:rFonts w:cstheme="minorHAnsi"/>
          <w:sz w:val="24"/>
          <w:szCs w:val="24"/>
          <w:lang w:val="en-GB"/>
        </w:rPr>
        <w:t xml:space="preserve">therefore </w:t>
      </w:r>
      <w:r w:rsidRPr="008B6D1C">
        <w:rPr>
          <w:rFonts w:cstheme="minorHAnsi"/>
          <w:sz w:val="24"/>
          <w:szCs w:val="24"/>
          <w:lang w:val="en-GB"/>
        </w:rPr>
        <w:t xml:space="preserve">be an important step as it would allow to calculate total tourism-related environmental flows. </w:t>
      </w:r>
      <w:r w:rsidR="00961C0F" w:rsidRPr="008B6D1C">
        <w:rPr>
          <w:rFonts w:cstheme="minorHAnsi"/>
          <w:sz w:val="24"/>
          <w:szCs w:val="24"/>
          <w:lang w:val="en-GB"/>
        </w:rPr>
        <w:t xml:space="preserve">However, the definition of a methodology for the calculation raises a number of questions that are only briefly mentioned here, with reference to the case of GHGs: how to single out the portion of emissions to be attributed to visitors out of total household emissions covered by environmental accounts? How to estimate environmental flows for all categories of visitors as covered in the TSA? </w:t>
      </w:r>
      <w:r w:rsidR="008B6D1C">
        <w:rPr>
          <w:rFonts w:cstheme="minorHAnsi"/>
          <w:sz w:val="24"/>
          <w:szCs w:val="24"/>
          <w:lang w:val="en-GB"/>
        </w:rPr>
        <w:t>For example</w:t>
      </w:r>
      <w:r w:rsidR="00961C0F" w:rsidRPr="008B6D1C">
        <w:rPr>
          <w:rFonts w:cstheme="minorHAnsi"/>
          <w:sz w:val="24"/>
          <w:szCs w:val="24"/>
          <w:lang w:val="en-GB"/>
        </w:rPr>
        <w:t>, since</w:t>
      </w:r>
      <w:r w:rsidR="008B6D1C">
        <w:rPr>
          <w:rFonts w:cstheme="minorHAnsi"/>
          <w:sz w:val="24"/>
          <w:szCs w:val="24"/>
          <w:lang w:val="en-GB"/>
        </w:rPr>
        <w:t xml:space="preserve"> </w:t>
      </w:r>
      <w:r w:rsidR="00961C0F" w:rsidRPr="008B6D1C">
        <w:rPr>
          <w:rFonts w:cstheme="minorHAnsi"/>
          <w:sz w:val="24"/>
          <w:szCs w:val="24"/>
          <w:lang w:val="en-GB"/>
        </w:rPr>
        <w:t>household emission</w:t>
      </w:r>
      <w:r w:rsidR="004302AC" w:rsidRPr="008B6D1C">
        <w:rPr>
          <w:rFonts w:cstheme="minorHAnsi"/>
          <w:sz w:val="24"/>
          <w:szCs w:val="24"/>
          <w:lang w:val="en-GB"/>
        </w:rPr>
        <w:t>s</w:t>
      </w:r>
      <w:r w:rsidR="00961C0F" w:rsidRPr="008B6D1C">
        <w:rPr>
          <w:rFonts w:cstheme="minorHAnsi"/>
          <w:sz w:val="24"/>
          <w:szCs w:val="24"/>
          <w:lang w:val="en-GB"/>
        </w:rPr>
        <w:t xml:space="preserve"> relate to resident households only, emission accounts data would be a suitable source to calculate for domestic and outbound </w:t>
      </w:r>
      <w:r w:rsidR="004302AC" w:rsidRPr="008B6D1C">
        <w:rPr>
          <w:rFonts w:cstheme="minorHAnsi"/>
          <w:sz w:val="24"/>
          <w:szCs w:val="24"/>
          <w:lang w:val="en-GB"/>
        </w:rPr>
        <w:t xml:space="preserve">tourism </w:t>
      </w:r>
      <w:r w:rsidR="00961C0F" w:rsidRPr="008B6D1C">
        <w:rPr>
          <w:rFonts w:cstheme="minorHAnsi"/>
          <w:sz w:val="24"/>
          <w:szCs w:val="24"/>
          <w:lang w:val="en-GB"/>
        </w:rPr>
        <w:t xml:space="preserve">related emissions but not for inbound, i.e. </w:t>
      </w:r>
      <w:r w:rsidR="00FD336D" w:rsidRPr="008B6D1C">
        <w:rPr>
          <w:rFonts w:cstheme="minorHAnsi"/>
          <w:sz w:val="24"/>
          <w:szCs w:val="24"/>
          <w:lang w:val="en-GB"/>
        </w:rPr>
        <w:t xml:space="preserve">for emissions related to </w:t>
      </w:r>
      <w:r w:rsidR="00961C0F" w:rsidRPr="008B6D1C">
        <w:rPr>
          <w:rFonts w:cstheme="minorHAnsi"/>
          <w:sz w:val="24"/>
          <w:szCs w:val="24"/>
          <w:lang w:val="en-GB"/>
        </w:rPr>
        <w:t>non-resident visitors</w:t>
      </w:r>
      <w:r w:rsidR="00FD336D" w:rsidRPr="008B6D1C">
        <w:rPr>
          <w:rFonts w:cstheme="minorHAnsi"/>
          <w:sz w:val="24"/>
          <w:szCs w:val="24"/>
          <w:lang w:val="en-GB"/>
        </w:rPr>
        <w:t>’ activities</w:t>
      </w:r>
      <w:r w:rsidR="00961C0F" w:rsidRPr="008B6D1C">
        <w:rPr>
          <w:rFonts w:cstheme="minorHAnsi"/>
          <w:sz w:val="24"/>
          <w:szCs w:val="24"/>
          <w:lang w:val="en-GB"/>
        </w:rPr>
        <w:t xml:space="preserve">. What kind of statistical relationship exists </w:t>
      </w:r>
      <w:r w:rsidR="004302AC" w:rsidRPr="008B6D1C">
        <w:rPr>
          <w:rFonts w:cstheme="minorHAnsi"/>
          <w:sz w:val="24"/>
          <w:szCs w:val="24"/>
          <w:lang w:val="en-GB"/>
        </w:rPr>
        <w:t xml:space="preserve">between </w:t>
      </w:r>
      <w:r w:rsidR="00961C0F" w:rsidRPr="008B6D1C">
        <w:rPr>
          <w:rFonts w:cstheme="minorHAnsi"/>
          <w:sz w:val="24"/>
          <w:szCs w:val="24"/>
          <w:lang w:val="en-GB"/>
        </w:rPr>
        <w:t xml:space="preserve">visitors' expenditure (e.g. for the fuel that generates air pollutants when it is used in driving and heating) and visitors’ emissions? </w:t>
      </w:r>
    </w:p>
    <w:p w:rsidR="00961C0F" w:rsidRPr="008B6D1C" w:rsidRDefault="00961C0F" w:rsidP="008B6D1C">
      <w:pPr>
        <w:jc w:val="both"/>
        <w:rPr>
          <w:rFonts w:cstheme="minorHAnsi"/>
          <w:sz w:val="24"/>
          <w:szCs w:val="24"/>
          <w:lang w:val="en-GB"/>
        </w:rPr>
      </w:pPr>
      <w:r w:rsidRPr="008B6D1C">
        <w:rPr>
          <w:rFonts w:cstheme="minorHAnsi"/>
          <w:sz w:val="24"/>
          <w:szCs w:val="24"/>
          <w:lang w:val="en-GB"/>
        </w:rPr>
        <w:t xml:space="preserve">This paper does not aim at providing an exhaustive list of questions nor at answering all of them. Instead, the purpose here is to highlight the need to devote further thought to unresolved implementation issues </w:t>
      </w:r>
      <w:r w:rsidR="00E16D22" w:rsidRPr="008B6D1C">
        <w:rPr>
          <w:rFonts w:cstheme="minorHAnsi"/>
          <w:sz w:val="24"/>
          <w:szCs w:val="24"/>
          <w:lang w:val="en-GB"/>
        </w:rPr>
        <w:t xml:space="preserve">concerning consumption related tourism environmental flows </w:t>
      </w:r>
      <w:r w:rsidRPr="008B6D1C">
        <w:rPr>
          <w:rFonts w:cstheme="minorHAnsi"/>
          <w:sz w:val="24"/>
          <w:szCs w:val="24"/>
          <w:lang w:val="en-GB"/>
        </w:rPr>
        <w:t xml:space="preserve">in order to improve the </w:t>
      </w:r>
      <w:r w:rsidR="00E16D22" w:rsidRPr="008B6D1C">
        <w:rPr>
          <w:rFonts w:cstheme="minorHAnsi"/>
          <w:sz w:val="24"/>
          <w:szCs w:val="24"/>
          <w:lang w:val="en-GB"/>
        </w:rPr>
        <w:t xml:space="preserve">overall </w:t>
      </w:r>
      <w:r w:rsidRPr="008B6D1C">
        <w:rPr>
          <w:rFonts w:cstheme="minorHAnsi"/>
          <w:sz w:val="24"/>
          <w:szCs w:val="24"/>
          <w:lang w:val="en-GB"/>
        </w:rPr>
        <w:t xml:space="preserve">statistical representation of </w:t>
      </w:r>
      <w:r w:rsidR="00E16D22" w:rsidRPr="008B6D1C">
        <w:rPr>
          <w:rFonts w:cstheme="minorHAnsi"/>
          <w:sz w:val="24"/>
          <w:szCs w:val="24"/>
          <w:lang w:val="en-GB"/>
        </w:rPr>
        <w:t xml:space="preserve">integrated environmental and economic </w:t>
      </w:r>
      <w:r w:rsidRPr="008B6D1C">
        <w:rPr>
          <w:rFonts w:cstheme="minorHAnsi"/>
          <w:sz w:val="24"/>
          <w:szCs w:val="24"/>
          <w:lang w:val="en-GB"/>
        </w:rPr>
        <w:t xml:space="preserve">tourism </w:t>
      </w:r>
      <w:r w:rsidR="00E16D22" w:rsidRPr="008B6D1C">
        <w:rPr>
          <w:rFonts w:cstheme="minorHAnsi"/>
          <w:sz w:val="24"/>
          <w:szCs w:val="24"/>
          <w:lang w:val="en-GB"/>
        </w:rPr>
        <w:t>accounts</w:t>
      </w:r>
      <w:r w:rsidRPr="008B6D1C">
        <w:rPr>
          <w:rFonts w:cstheme="minorHAnsi"/>
          <w:sz w:val="24"/>
          <w:szCs w:val="24"/>
          <w:lang w:val="en-GB"/>
        </w:rPr>
        <w:t>.</w:t>
      </w:r>
    </w:p>
    <w:p w:rsidR="00D2315A" w:rsidRPr="008B6D1C" w:rsidRDefault="00D2315A" w:rsidP="008B6D1C">
      <w:pPr>
        <w:jc w:val="both"/>
        <w:rPr>
          <w:rFonts w:cstheme="minorHAnsi"/>
          <w:sz w:val="24"/>
          <w:szCs w:val="24"/>
          <w:lang w:val="en-GB"/>
        </w:rPr>
      </w:pPr>
    </w:p>
    <w:p w:rsidR="00D2315A" w:rsidRPr="008B6D1C" w:rsidRDefault="008B6D1C" w:rsidP="008B6D1C">
      <w:pPr>
        <w:jc w:val="both"/>
        <w:rPr>
          <w:rFonts w:cstheme="minorHAnsi"/>
          <w:sz w:val="24"/>
          <w:szCs w:val="24"/>
          <w:lang w:val="en-GB"/>
        </w:rPr>
      </w:pPr>
      <w:r>
        <w:rPr>
          <w:rFonts w:cstheme="minorHAnsi"/>
          <w:sz w:val="24"/>
          <w:szCs w:val="24"/>
          <w:lang w:val="en-GB"/>
        </w:rPr>
        <w:t xml:space="preserve">In addition, </w:t>
      </w:r>
      <w:r w:rsidR="00D2315A" w:rsidRPr="008B6D1C">
        <w:rPr>
          <w:rFonts w:cstheme="minorHAnsi"/>
          <w:sz w:val="24"/>
          <w:szCs w:val="24"/>
          <w:lang w:val="en-GB"/>
        </w:rPr>
        <w:t xml:space="preserve">going beyond the production approach in tourism related environmental flows estimates </w:t>
      </w:r>
      <w:r w:rsidR="000E6993" w:rsidRPr="008B6D1C">
        <w:rPr>
          <w:rFonts w:cstheme="minorHAnsi"/>
          <w:sz w:val="24"/>
          <w:szCs w:val="24"/>
          <w:lang w:val="en-GB"/>
        </w:rPr>
        <w:t>is</w:t>
      </w:r>
      <w:r w:rsidR="00D2315A" w:rsidRPr="008B6D1C">
        <w:rPr>
          <w:rFonts w:cstheme="minorHAnsi"/>
          <w:sz w:val="24"/>
          <w:szCs w:val="24"/>
          <w:lang w:val="en-GB"/>
        </w:rPr>
        <w:t xml:space="preserve"> </w:t>
      </w:r>
      <w:r w:rsidR="000E6993" w:rsidRPr="008B6D1C">
        <w:rPr>
          <w:rFonts w:cstheme="minorHAnsi"/>
          <w:sz w:val="24"/>
          <w:szCs w:val="24"/>
          <w:lang w:val="en-GB"/>
        </w:rPr>
        <w:t>crucial</w:t>
      </w:r>
      <w:r w:rsidR="00D2315A" w:rsidRPr="008B6D1C">
        <w:rPr>
          <w:rFonts w:cstheme="minorHAnsi"/>
          <w:sz w:val="24"/>
          <w:szCs w:val="24"/>
          <w:lang w:val="en-GB"/>
        </w:rPr>
        <w:t xml:space="preserve"> given that the demand perspective is by definition the starting point for addressing matters related to tourism. Any tourism phenomenon, can in fact be traced to a demand reflecting the needs of individuals moving away from their usual environment for tourism purposes. The supply of goods and services purchased by visitors takes place in response to such a demand .</w:t>
      </w:r>
    </w:p>
    <w:p w:rsidR="00D2315A" w:rsidRPr="008B6D1C" w:rsidRDefault="00D2315A" w:rsidP="008B6D1C">
      <w:pPr>
        <w:jc w:val="both"/>
        <w:rPr>
          <w:rFonts w:cstheme="minorHAnsi"/>
          <w:sz w:val="24"/>
          <w:szCs w:val="24"/>
          <w:lang w:val="en-GB"/>
        </w:rPr>
      </w:pPr>
      <w:r w:rsidRPr="008B6D1C">
        <w:rPr>
          <w:rFonts w:cstheme="minorHAnsi"/>
          <w:sz w:val="24"/>
          <w:szCs w:val="24"/>
          <w:lang w:val="en-GB"/>
        </w:rPr>
        <w:t xml:space="preserve">In the TSA, depending on visitors' residence and the economic territory within which the activity of visitors takes place, the demand perspective covers three forms of tourism: activities of resident visitors within the country of reference (Domestic tourism), activities of non-resident visitors within the country of reference (Inbound tourism) and activities of resident visitors outside the country of reference (Outbound tourism). Expenditure and consumption aggregates  for the three forms of tourism, provide statistical information from a demand perspective . </w:t>
      </w:r>
    </w:p>
    <w:p w:rsidR="00961C0F" w:rsidRPr="00961C0F" w:rsidRDefault="00D2315A" w:rsidP="008B6D1C">
      <w:pPr>
        <w:jc w:val="both"/>
        <w:rPr>
          <w:sz w:val="24"/>
          <w:szCs w:val="24"/>
          <w:lang w:val="en-US"/>
        </w:rPr>
      </w:pPr>
      <w:r w:rsidRPr="00E73A4E">
        <w:rPr>
          <w:rFonts w:cstheme="minorHAnsi"/>
          <w:sz w:val="24"/>
          <w:szCs w:val="24"/>
          <w:lang w:val="en-GB"/>
        </w:rPr>
        <w:t xml:space="preserve">A relevant issue currently investigated in the framework of the MST </w:t>
      </w:r>
      <w:r w:rsidR="0008617F" w:rsidRPr="00E73A4E">
        <w:rPr>
          <w:rFonts w:cstheme="minorHAnsi"/>
          <w:sz w:val="24"/>
          <w:szCs w:val="24"/>
          <w:lang w:val="en-GB"/>
        </w:rPr>
        <w:t xml:space="preserve">project </w:t>
      </w:r>
      <w:r w:rsidRPr="00E73A4E">
        <w:rPr>
          <w:rFonts w:cstheme="minorHAnsi"/>
          <w:sz w:val="24"/>
          <w:szCs w:val="24"/>
          <w:lang w:val="en-GB"/>
        </w:rPr>
        <w:t xml:space="preserve">is how to extend the scope of the demand perspective approach of the TSA to encompass </w:t>
      </w:r>
      <w:r w:rsidR="0008617F" w:rsidRPr="00E73A4E">
        <w:rPr>
          <w:rFonts w:cstheme="minorHAnsi"/>
          <w:sz w:val="24"/>
          <w:szCs w:val="24"/>
          <w:lang w:val="en-GB"/>
        </w:rPr>
        <w:t xml:space="preserve">visitors’ activities beyond the use of goods and services supplied in the economic system, i.e. </w:t>
      </w:r>
      <w:r w:rsidR="00D25773" w:rsidRPr="00E73A4E">
        <w:rPr>
          <w:rFonts w:cstheme="minorHAnsi"/>
          <w:sz w:val="24"/>
          <w:szCs w:val="24"/>
          <w:lang w:val="en-GB"/>
        </w:rPr>
        <w:t>those</w:t>
      </w:r>
      <w:r w:rsidR="0027488F" w:rsidRPr="00E73A4E">
        <w:rPr>
          <w:rFonts w:cstheme="minorHAnsi"/>
          <w:sz w:val="24"/>
          <w:szCs w:val="24"/>
          <w:lang w:val="en-GB"/>
        </w:rPr>
        <w:t xml:space="preserve"> </w:t>
      </w:r>
      <w:r w:rsidR="0008617F" w:rsidRPr="00E73A4E">
        <w:rPr>
          <w:rFonts w:cstheme="minorHAnsi"/>
          <w:sz w:val="24"/>
          <w:szCs w:val="24"/>
          <w:lang w:val="en-GB"/>
        </w:rPr>
        <w:t>based on benefits from ecosystem se</w:t>
      </w:r>
      <w:r w:rsidR="00D25773" w:rsidRPr="00E73A4E">
        <w:rPr>
          <w:rFonts w:cstheme="minorHAnsi"/>
          <w:sz w:val="24"/>
          <w:szCs w:val="24"/>
          <w:lang w:val="en-GB"/>
        </w:rPr>
        <w:t>r</w:t>
      </w:r>
      <w:r w:rsidR="0008617F" w:rsidRPr="00E73A4E">
        <w:rPr>
          <w:rFonts w:cstheme="minorHAnsi"/>
          <w:sz w:val="24"/>
          <w:szCs w:val="24"/>
          <w:lang w:val="en-GB"/>
        </w:rPr>
        <w:t>vices</w:t>
      </w:r>
      <w:r w:rsidR="00D25773" w:rsidRPr="00E73A4E">
        <w:rPr>
          <w:rFonts w:cstheme="minorHAnsi"/>
          <w:sz w:val="24"/>
          <w:szCs w:val="24"/>
          <w:lang w:val="en-GB"/>
        </w:rPr>
        <w:t xml:space="preserve">; this would </w:t>
      </w:r>
      <w:r w:rsidR="0008617F" w:rsidRPr="00E73A4E">
        <w:rPr>
          <w:rFonts w:cstheme="minorHAnsi"/>
          <w:sz w:val="24"/>
          <w:szCs w:val="24"/>
          <w:lang w:val="en-GB"/>
        </w:rPr>
        <w:t>impl</w:t>
      </w:r>
      <w:r w:rsidR="00D25773" w:rsidRPr="00E73A4E">
        <w:rPr>
          <w:rFonts w:cstheme="minorHAnsi"/>
          <w:sz w:val="24"/>
          <w:szCs w:val="24"/>
          <w:lang w:val="en-GB"/>
        </w:rPr>
        <w:t xml:space="preserve">y </w:t>
      </w:r>
      <w:r w:rsidR="0008617F" w:rsidRPr="00E73A4E">
        <w:rPr>
          <w:rFonts w:cstheme="minorHAnsi"/>
          <w:sz w:val="24"/>
          <w:szCs w:val="24"/>
          <w:lang w:val="en-GB"/>
        </w:rPr>
        <w:t>taking into account related environmental impacts on environmental assets. Furthermore, while the demand perspective presented in the international statistical standards for tourism focuses on direct flows</w:t>
      </w:r>
      <w:r w:rsidR="00D73C89" w:rsidRPr="00E73A4E">
        <w:rPr>
          <w:rFonts w:cstheme="minorHAnsi"/>
          <w:sz w:val="24"/>
          <w:szCs w:val="24"/>
          <w:lang w:val="en-GB"/>
        </w:rPr>
        <w:t xml:space="preserve"> -</w:t>
      </w:r>
      <w:r w:rsidR="0008617F" w:rsidRPr="00E73A4E">
        <w:rPr>
          <w:rFonts w:cstheme="minorHAnsi"/>
          <w:sz w:val="24"/>
          <w:szCs w:val="24"/>
          <w:lang w:val="en-GB"/>
        </w:rPr>
        <w:t xml:space="preserve"> i.e. visitors’ consumption stemming directly from needs related to trips taken by households and individuals is measured</w:t>
      </w:r>
      <w:r w:rsidR="00D73C89" w:rsidRPr="00E73A4E">
        <w:rPr>
          <w:rFonts w:cstheme="minorHAnsi"/>
          <w:sz w:val="24"/>
          <w:szCs w:val="24"/>
          <w:lang w:val="en-GB"/>
        </w:rPr>
        <w:t xml:space="preserve"> -</w:t>
      </w:r>
      <w:r w:rsidR="0008617F" w:rsidRPr="00E73A4E">
        <w:rPr>
          <w:rFonts w:cstheme="minorHAnsi"/>
          <w:sz w:val="24"/>
          <w:szCs w:val="24"/>
          <w:lang w:val="en-GB"/>
        </w:rPr>
        <w:t xml:space="preserve"> there is an interest also </w:t>
      </w:r>
      <w:r w:rsidR="00D73C89" w:rsidRPr="00E73A4E">
        <w:rPr>
          <w:rFonts w:cstheme="minorHAnsi"/>
          <w:sz w:val="24"/>
          <w:szCs w:val="24"/>
          <w:lang w:val="en-GB"/>
        </w:rPr>
        <w:t xml:space="preserve">in </w:t>
      </w:r>
      <w:r w:rsidR="0008617F" w:rsidRPr="00E73A4E">
        <w:rPr>
          <w:rFonts w:cstheme="minorHAnsi"/>
          <w:sz w:val="24"/>
          <w:szCs w:val="24"/>
          <w:lang w:val="en-GB"/>
        </w:rPr>
        <w:t xml:space="preserve">considering </w:t>
      </w:r>
      <w:r w:rsidR="00D73C89" w:rsidRPr="00E73A4E">
        <w:rPr>
          <w:rFonts w:cstheme="minorHAnsi"/>
          <w:sz w:val="24"/>
          <w:szCs w:val="24"/>
          <w:lang w:val="en-GB"/>
        </w:rPr>
        <w:t>environmental flows along the whole supply chain concerning products purchased by visitors</w:t>
      </w:r>
      <w:r w:rsidRPr="00E73A4E">
        <w:rPr>
          <w:rStyle w:val="Fotnotsreferens"/>
          <w:rFonts w:cstheme="minorHAnsi"/>
          <w:sz w:val="24"/>
          <w:szCs w:val="24"/>
          <w:lang w:val="en-GB"/>
        </w:rPr>
        <w:footnoteReference w:id="20"/>
      </w:r>
      <w:r w:rsidRPr="00E73A4E">
        <w:rPr>
          <w:rFonts w:cstheme="minorHAnsi"/>
          <w:sz w:val="24"/>
          <w:szCs w:val="24"/>
          <w:lang w:val="en-GB"/>
        </w:rPr>
        <w:t>.</w:t>
      </w:r>
    </w:p>
    <w:p w:rsidR="002D755D" w:rsidRPr="006F0B4B" w:rsidRDefault="002D755D" w:rsidP="006E1713">
      <w:pPr>
        <w:rPr>
          <w:rFonts w:cstheme="minorHAnsi"/>
          <w:sz w:val="24"/>
          <w:szCs w:val="24"/>
          <w:lang w:val="en-GB"/>
        </w:rPr>
      </w:pPr>
    </w:p>
    <w:p w:rsidR="003644FD" w:rsidRPr="00C07FDE" w:rsidRDefault="003644FD" w:rsidP="003644FD">
      <w:pPr>
        <w:pStyle w:val="Rubrik2"/>
        <w:numPr>
          <w:ilvl w:val="0"/>
          <w:numId w:val="2"/>
        </w:numPr>
        <w:spacing w:line="276" w:lineRule="auto"/>
        <w:rPr>
          <w:rFonts w:cstheme="minorHAnsi"/>
          <w:lang w:val="en-GB"/>
        </w:rPr>
      </w:pPr>
      <w:bookmarkStart w:id="24" w:name="_Toc524965949"/>
      <w:r w:rsidRPr="00C07FDE">
        <w:rPr>
          <w:rFonts w:cstheme="minorHAnsi"/>
          <w:lang w:val="en-GB"/>
        </w:rPr>
        <w:t>Conclusions and inputs for discussion</w:t>
      </w:r>
      <w:bookmarkEnd w:id="24"/>
    </w:p>
    <w:p w:rsidR="00E005C6" w:rsidRPr="00CD65C0" w:rsidRDefault="00E005C6" w:rsidP="00CD65C0">
      <w:pPr>
        <w:jc w:val="both"/>
        <w:rPr>
          <w:rFonts w:cstheme="minorHAnsi"/>
          <w:sz w:val="24"/>
          <w:szCs w:val="24"/>
          <w:lang w:val="en-GB"/>
        </w:rPr>
      </w:pPr>
      <w:r w:rsidRPr="00CD65C0">
        <w:rPr>
          <w:rFonts w:cstheme="minorHAnsi"/>
          <w:sz w:val="24"/>
          <w:szCs w:val="24"/>
          <w:lang w:val="en-GB"/>
        </w:rPr>
        <w:t>The implementation of a pilot TSA-SEEA case study for Italy allows to draw some general conclusion</w:t>
      </w:r>
      <w:r w:rsidR="008E74A2" w:rsidRPr="00CD65C0">
        <w:rPr>
          <w:rFonts w:cstheme="minorHAnsi"/>
          <w:sz w:val="24"/>
          <w:szCs w:val="24"/>
          <w:lang w:val="en-GB"/>
        </w:rPr>
        <w:t>s</w:t>
      </w:r>
      <w:r w:rsidRPr="00CD65C0">
        <w:rPr>
          <w:rFonts w:cstheme="minorHAnsi"/>
          <w:sz w:val="24"/>
          <w:szCs w:val="24"/>
          <w:lang w:val="en-GB"/>
        </w:rPr>
        <w:t xml:space="preserve"> that can be helpful for countries engaging in similar exercises: </w:t>
      </w:r>
    </w:p>
    <w:p w:rsidR="00104450" w:rsidRPr="00CD65C0" w:rsidRDefault="00104450" w:rsidP="00CD65C0">
      <w:pPr>
        <w:jc w:val="both"/>
        <w:rPr>
          <w:rFonts w:eastAsia="Calibri" w:cs="Arial"/>
          <w:sz w:val="24"/>
          <w:szCs w:val="24"/>
          <w:lang w:val="en-GB"/>
        </w:rPr>
      </w:pPr>
    </w:p>
    <w:p w:rsidR="00104450" w:rsidRPr="00CD65C0" w:rsidRDefault="00104450" w:rsidP="00CD65C0">
      <w:pPr>
        <w:pStyle w:val="Liststycke"/>
        <w:numPr>
          <w:ilvl w:val="0"/>
          <w:numId w:val="14"/>
        </w:numPr>
        <w:jc w:val="both"/>
        <w:rPr>
          <w:rFonts w:asciiTheme="minorHAnsi" w:hAnsiTheme="minorHAnsi" w:cstheme="minorHAnsi"/>
          <w:sz w:val="24"/>
          <w:szCs w:val="24"/>
          <w:lang w:val="en-GB"/>
        </w:rPr>
      </w:pPr>
      <w:r w:rsidRPr="00CD65C0">
        <w:rPr>
          <w:rFonts w:asciiTheme="minorHAnsi" w:hAnsiTheme="minorHAnsi" w:cstheme="minorHAnsi"/>
          <w:sz w:val="24"/>
          <w:szCs w:val="24"/>
          <w:lang w:val="en-GB"/>
        </w:rPr>
        <w:t xml:space="preserve">Linking TSA and SEEA is a relatively new statistical </w:t>
      </w:r>
      <w:r w:rsidR="00BC70B9">
        <w:rPr>
          <w:rFonts w:asciiTheme="minorHAnsi" w:hAnsiTheme="minorHAnsi" w:cstheme="minorHAnsi"/>
          <w:sz w:val="24"/>
          <w:szCs w:val="24"/>
          <w:lang w:val="en-GB"/>
        </w:rPr>
        <w:t>effort</w:t>
      </w:r>
      <w:r w:rsidRPr="00CD65C0">
        <w:rPr>
          <w:rFonts w:asciiTheme="minorHAnsi" w:hAnsiTheme="minorHAnsi" w:cstheme="minorHAnsi"/>
          <w:sz w:val="24"/>
          <w:szCs w:val="24"/>
          <w:lang w:val="en-GB"/>
        </w:rPr>
        <w:t>; the statistical framework proposed within the UNWTO MST initiative and the Technical Note provide</w:t>
      </w:r>
      <w:r w:rsidR="008E74A2" w:rsidRPr="00CD65C0">
        <w:rPr>
          <w:rFonts w:asciiTheme="minorHAnsi" w:hAnsiTheme="minorHAnsi" w:cstheme="minorHAnsi"/>
          <w:sz w:val="24"/>
          <w:szCs w:val="24"/>
          <w:lang w:val="en-GB"/>
        </w:rPr>
        <w:t>s</w:t>
      </w:r>
      <w:r w:rsidRPr="00CD65C0">
        <w:rPr>
          <w:rFonts w:asciiTheme="minorHAnsi" w:hAnsiTheme="minorHAnsi" w:cstheme="minorHAnsi"/>
          <w:sz w:val="24"/>
          <w:szCs w:val="24"/>
          <w:lang w:val="en-GB"/>
        </w:rPr>
        <w:t xml:space="preserve"> help in this respect. </w:t>
      </w:r>
    </w:p>
    <w:p w:rsidR="00104450" w:rsidRPr="00CD65C0" w:rsidRDefault="00104450" w:rsidP="00CD65C0">
      <w:pPr>
        <w:jc w:val="both"/>
        <w:rPr>
          <w:rFonts w:cstheme="minorHAnsi"/>
          <w:sz w:val="24"/>
          <w:szCs w:val="24"/>
          <w:lang w:val="en-GB"/>
        </w:rPr>
      </w:pPr>
      <w:r w:rsidRPr="00CD65C0">
        <w:rPr>
          <w:rFonts w:eastAsia="Calibri" w:cs="Arial"/>
          <w:sz w:val="24"/>
          <w:szCs w:val="24"/>
          <w:lang w:val="en-US"/>
        </w:rPr>
        <w:t xml:space="preserve">Developing a suitable methodology proved to be the main challenge for the Italian pilot case study. Particularly helpful was the </w:t>
      </w:r>
      <w:r w:rsidR="00BC70B9" w:rsidRPr="00CD65C0">
        <w:rPr>
          <w:rFonts w:cstheme="minorHAnsi"/>
          <w:sz w:val="24"/>
          <w:szCs w:val="24"/>
          <w:lang w:val="en-GB"/>
        </w:rPr>
        <w:t>Technical Note</w:t>
      </w:r>
      <w:r w:rsidR="00BC70B9" w:rsidRPr="00CD65C0">
        <w:rPr>
          <w:rFonts w:eastAsia="Calibri" w:cs="Arial"/>
          <w:sz w:val="24"/>
          <w:szCs w:val="24"/>
          <w:lang w:val="en-US"/>
        </w:rPr>
        <w:t xml:space="preserve"> </w:t>
      </w:r>
      <w:r w:rsidRPr="00CD65C0">
        <w:rPr>
          <w:rFonts w:eastAsia="Calibri" w:cs="Arial"/>
          <w:sz w:val="24"/>
          <w:szCs w:val="24"/>
          <w:lang w:val="en-US"/>
        </w:rPr>
        <w:t>methodological advice to calculate the tourism share of environmental flows (in the absence of directly collected data) on the basis of ratios derived from a TSA</w:t>
      </w:r>
      <w:r w:rsidR="00365420">
        <w:rPr>
          <w:rFonts w:eastAsia="Calibri" w:cs="Arial"/>
          <w:sz w:val="24"/>
          <w:szCs w:val="24"/>
          <w:lang w:val="en-US"/>
        </w:rPr>
        <w:t>.</w:t>
      </w:r>
    </w:p>
    <w:p w:rsidR="00104450" w:rsidRPr="00CD65C0" w:rsidRDefault="00104450" w:rsidP="00CD65C0">
      <w:pPr>
        <w:jc w:val="both"/>
        <w:rPr>
          <w:rFonts w:cstheme="minorHAnsi"/>
          <w:sz w:val="24"/>
          <w:szCs w:val="24"/>
          <w:lang w:val="en-GB"/>
        </w:rPr>
      </w:pPr>
    </w:p>
    <w:p w:rsidR="00E005C6" w:rsidRPr="00CD65C0" w:rsidRDefault="00E005C6" w:rsidP="00CD65C0">
      <w:pPr>
        <w:pStyle w:val="Liststycke"/>
        <w:numPr>
          <w:ilvl w:val="0"/>
          <w:numId w:val="14"/>
        </w:numPr>
        <w:jc w:val="both"/>
        <w:rPr>
          <w:rFonts w:asciiTheme="minorHAnsi" w:hAnsiTheme="minorHAnsi" w:cstheme="minorHAnsi"/>
          <w:sz w:val="24"/>
          <w:szCs w:val="24"/>
          <w:lang w:val="en-GB"/>
        </w:rPr>
      </w:pPr>
      <w:r w:rsidRPr="00CD65C0">
        <w:rPr>
          <w:rFonts w:asciiTheme="minorHAnsi" w:hAnsiTheme="minorHAnsi" w:cstheme="minorHAnsi"/>
          <w:sz w:val="24"/>
          <w:szCs w:val="24"/>
          <w:lang w:val="en-GB"/>
        </w:rPr>
        <w:t xml:space="preserve">Cooperation between TSA and SEEA experts is </w:t>
      </w:r>
      <w:r w:rsidR="00365420">
        <w:rPr>
          <w:rFonts w:asciiTheme="minorHAnsi" w:hAnsiTheme="minorHAnsi" w:cstheme="minorHAnsi"/>
          <w:sz w:val="24"/>
          <w:szCs w:val="24"/>
          <w:lang w:val="en-GB"/>
        </w:rPr>
        <w:t xml:space="preserve">essential: understanding </w:t>
      </w:r>
      <w:r w:rsidRPr="00CD65C0">
        <w:rPr>
          <w:rFonts w:asciiTheme="minorHAnsi" w:hAnsiTheme="minorHAnsi" w:cstheme="minorHAnsi"/>
          <w:sz w:val="24"/>
          <w:szCs w:val="24"/>
          <w:lang w:val="en-GB"/>
        </w:rPr>
        <w:t>how TSA estimates were obtained in the first place</w:t>
      </w:r>
      <w:r w:rsidR="00DE43D6" w:rsidRPr="00CD65C0">
        <w:rPr>
          <w:rFonts w:asciiTheme="minorHAnsi" w:hAnsiTheme="minorHAnsi" w:cstheme="minorHAnsi"/>
          <w:sz w:val="24"/>
          <w:szCs w:val="24"/>
          <w:lang w:val="en-GB"/>
        </w:rPr>
        <w:t xml:space="preserve">, </w:t>
      </w:r>
      <w:r w:rsidR="00365420">
        <w:rPr>
          <w:rFonts w:asciiTheme="minorHAnsi" w:hAnsiTheme="minorHAnsi" w:cstheme="minorHAnsi"/>
          <w:sz w:val="24"/>
          <w:szCs w:val="24"/>
          <w:lang w:val="en-GB"/>
        </w:rPr>
        <w:t xml:space="preserve">facilitates </w:t>
      </w:r>
      <w:r w:rsidR="00DE43D6" w:rsidRPr="00CD65C0">
        <w:rPr>
          <w:rFonts w:asciiTheme="minorHAnsi" w:hAnsiTheme="minorHAnsi" w:cstheme="minorHAnsi"/>
          <w:sz w:val="24"/>
          <w:szCs w:val="24"/>
          <w:lang w:val="en-GB"/>
        </w:rPr>
        <w:t xml:space="preserve">consistency between </w:t>
      </w:r>
      <w:r w:rsidR="00365420" w:rsidRPr="00CD65C0">
        <w:rPr>
          <w:rFonts w:asciiTheme="minorHAnsi" w:hAnsiTheme="minorHAnsi" w:cstheme="minorHAnsi"/>
          <w:sz w:val="24"/>
          <w:szCs w:val="24"/>
          <w:lang w:val="en-GB"/>
        </w:rPr>
        <w:t xml:space="preserve">TSA estimates </w:t>
      </w:r>
      <w:r w:rsidR="00365420">
        <w:rPr>
          <w:rFonts w:asciiTheme="minorHAnsi" w:hAnsiTheme="minorHAnsi" w:cstheme="minorHAnsi"/>
          <w:sz w:val="24"/>
          <w:szCs w:val="24"/>
          <w:lang w:val="en-GB"/>
        </w:rPr>
        <w:t xml:space="preserve">and </w:t>
      </w:r>
      <w:r w:rsidR="00DE43D6" w:rsidRPr="00CD65C0">
        <w:rPr>
          <w:rFonts w:asciiTheme="minorHAnsi" w:hAnsiTheme="minorHAnsi" w:cstheme="minorHAnsi"/>
          <w:sz w:val="24"/>
          <w:szCs w:val="24"/>
          <w:lang w:val="en-GB"/>
        </w:rPr>
        <w:t xml:space="preserve">environmental flows estimates </w:t>
      </w:r>
      <w:r w:rsidR="00365420">
        <w:rPr>
          <w:rFonts w:asciiTheme="minorHAnsi" w:hAnsiTheme="minorHAnsi" w:cstheme="minorHAnsi"/>
          <w:sz w:val="24"/>
          <w:szCs w:val="24"/>
          <w:lang w:val="en-GB"/>
        </w:rPr>
        <w:t xml:space="preserve">in </w:t>
      </w:r>
      <w:r w:rsidR="00DE43D6" w:rsidRPr="00CD65C0">
        <w:rPr>
          <w:rFonts w:asciiTheme="minorHAnsi" w:hAnsiTheme="minorHAnsi" w:cstheme="minorHAnsi"/>
          <w:sz w:val="24"/>
          <w:szCs w:val="24"/>
          <w:lang w:val="en-GB"/>
        </w:rPr>
        <w:t xml:space="preserve">TSA-SEEA </w:t>
      </w:r>
      <w:r w:rsidR="00365420">
        <w:rPr>
          <w:rFonts w:asciiTheme="minorHAnsi" w:hAnsiTheme="minorHAnsi" w:cstheme="minorHAnsi"/>
          <w:sz w:val="24"/>
          <w:szCs w:val="24"/>
          <w:lang w:val="en-GB"/>
        </w:rPr>
        <w:t>implementation</w:t>
      </w:r>
      <w:r w:rsidR="00FC5797" w:rsidRPr="00CD65C0">
        <w:rPr>
          <w:rFonts w:asciiTheme="minorHAnsi" w:hAnsiTheme="minorHAnsi" w:cstheme="minorHAnsi"/>
          <w:sz w:val="24"/>
          <w:szCs w:val="24"/>
          <w:lang w:val="en-GB"/>
        </w:rPr>
        <w:t xml:space="preserve">; access to working level TSA data </w:t>
      </w:r>
      <w:r w:rsidR="00365420">
        <w:rPr>
          <w:rFonts w:asciiTheme="minorHAnsi" w:hAnsiTheme="minorHAnsi" w:cstheme="minorHAnsi"/>
          <w:sz w:val="24"/>
          <w:szCs w:val="24"/>
          <w:lang w:val="en-GB"/>
        </w:rPr>
        <w:t xml:space="preserve">is also helpful since it </w:t>
      </w:r>
      <w:r w:rsidR="00FC5797" w:rsidRPr="00CD65C0">
        <w:rPr>
          <w:rFonts w:asciiTheme="minorHAnsi" w:hAnsiTheme="minorHAnsi" w:cstheme="minorHAnsi"/>
          <w:sz w:val="24"/>
          <w:szCs w:val="24"/>
          <w:lang w:val="en-GB"/>
        </w:rPr>
        <w:t>allows to perform calculations at a detailed breakdown level</w:t>
      </w:r>
      <w:r w:rsidRPr="00CD65C0">
        <w:rPr>
          <w:rFonts w:asciiTheme="minorHAnsi" w:hAnsiTheme="minorHAnsi" w:cstheme="minorHAnsi"/>
          <w:sz w:val="24"/>
          <w:szCs w:val="24"/>
          <w:lang w:val="en-GB"/>
        </w:rPr>
        <w:t xml:space="preserve">. </w:t>
      </w:r>
    </w:p>
    <w:p w:rsidR="00E005C6" w:rsidRPr="00CD65C0" w:rsidRDefault="00E005C6" w:rsidP="00CD65C0">
      <w:pPr>
        <w:jc w:val="both"/>
        <w:rPr>
          <w:rFonts w:cstheme="minorHAnsi"/>
          <w:sz w:val="24"/>
          <w:szCs w:val="24"/>
          <w:lang w:val="en-GB"/>
        </w:rPr>
      </w:pPr>
      <w:r w:rsidRPr="00CD65C0">
        <w:rPr>
          <w:rFonts w:cstheme="minorHAnsi"/>
          <w:sz w:val="24"/>
          <w:szCs w:val="24"/>
          <w:lang w:val="en-GB"/>
        </w:rPr>
        <w:t xml:space="preserve">As discussed in § </w:t>
      </w:r>
      <w:r w:rsidRPr="00CD65C0">
        <w:rPr>
          <w:rFonts w:cstheme="minorHAnsi"/>
          <w:sz w:val="24"/>
          <w:szCs w:val="24"/>
          <w:lang w:val="en-GB"/>
        </w:rPr>
        <w:fldChar w:fldCharType="begin"/>
      </w:r>
      <w:r w:rsidRPr="00CD65C0">
        <w:rPr>
          <w:rFonts w:cstheme="minorHAnsi"/>
          <w:sz w:val="24"/>
          <w:szCs w:val="24"/>
          <w:lang w:val="en-GB"/>
        </w:rPr>
        <w:instrText xml:space="preserve"> REF _Ref521661824 \r \h </w:instrText>
      </w:r>
      <w:r w:rsidR="000B0B08" w:rsidRPr="00CD65C0">
        <w:rPr>
          <w:rFonts w:cstheme="minorHAnsi"/>
          <w:sz w:val="24"/>
          <w:szCs w:val="24"/>
          <w:lang w:val="en-GB"/>
        </w:rPr>
        <w:instrText xml:space="preserve"> \* MERGEFORMAT </w:instrText>
      </w:r>
      <w:r w:rsidRPr="00CD65C0">
        <w:rPr>
          <w:rFonts w:cstheme="minorHAnsi"/>
          <w:sz w:val="24"/>
          <w:szCs w:val="24"/>
          <w:lang w:val="en-GB"/>
        </w:rPr>
      </w:r>
      <w:r w:rsidRPr="00CD65C0">
        <w:rPr>
          <w:rFonts w:cstheme="minorHAnsi"/>
          <w:sz w:val="24"/>
          <w:szCs w:val="24"/>
          <w:lang w:val="en-GB"/>
        </w:rPr>
        <w:fldChar w:fldCharType="separate"/>
      </w:r>
      <w:r w:rsidR="00747D9C">
        <w:rPr>
          <w:rFonts w:cstheme="minorHAnsi"/>
          <w:sz w:val="24"/>
          <w:szCs w:val="24"/>
          <w:lang w:val="en-GB"/>
        </w:rPr>
        <w:t>2</w:t>
      </w:r>
      <w:r w:rsidRPr="00CD65C0">
        <w:rPr>
          <w:rFonts w:cstheme="minorHAnsi"/>
          <w:sz w:val="24"/>
          <w:szCs w:val="24"/>
          <w:lang w:val="en-GB"/>
        </w:rPr>
        <w:fldChar w:fldCharType="end"/>
      </w:r>
      <w:r w:rsidRPr="00CD65C0">
        <w:rPr>
          <w:rFonts w:cstheme="minorHAnsi"/>
          <w:sz w:val="24"/>
          <w:szCs w:val="24"/>
          <w:lang w:val="en-GB"/>
        </w:rPr>
        <w:t xml:space="preserve">, in estimating environmental flows by industry, the identified first best option was to exactly match the TSA output </w:t>
      </w:r>
      <w:r w:rsidR="00FC5797" w:rsidRPr="00CD65C0">
        <w:rPr>
          <w:rFonts w:cstheme="minorHAnsi"/>
          <w:sz w:val="24"/>
          <w:szCs w:val="24"/>
          <w:lang w:val="en-GB"/>
        </w:rPr>
        <w:t xml:space="preserve">calculation </w:t>
      </w:r>
      <w:r w:rsidRPr="00CD65C0">
        <w:rPr>
          <w:rFonts w:cstheme="minorHAnsi"/>
          <w:sz w:val="24"/>
          <w:szCs w:val="24"/>
          <w:lang w:val="en-GB"/>
        </w:rPr>
        <w:t xml:space="preserve">method, i.e. to quantify the specific amount of emissions/energy inputs related to activities falling within the tourism scope (that is to say, subtracting from NA activity-environmental flow the portion related to classes falling outside the scope of tourism). Although this option was not actually feasible in </w:t>
      </w:r>
      <w:r w:rsidR="00FC5797" w:rsidRPr="00CD65C0">
        <w:rPr>
          <w:rFonts w:cstheme="minorHAnsi"/>
          <w:sz w:val="24"/>
          <w:szCs w:val="24"/>
          <w:lang w:val="en-GB"/>
        </w:rPr>
        <w:t xml:space="preserve">practice </w:t>
      </w:r>
      <w:r w:rsidR="00006C1A">
        <w:rPr>
          <w:rFonts w:cstheme="minorHAnsi"/>
          <w:sz w:val="24"/>
          <w:szCs w:val="24"/>
          <w:lang w:val="en-GB"/>
        </w:rPr>
        <w:t xml:space="preserve">in </w:t>
      </w:r>
      <w:r w:rsidRPr="00CD65C0">
        <w:rPr>
          <w:rFonts w:cstheme="minorHAnsi"/>
          <w:sz w:val="24"/>
          <w:szCs w:val="24"/>
          <w:lang w:val="en-GB"/>
        </w:rPr>
        <w:t xml:space="preserve">most cases, it was nonetheless identified as the best one. </w:t>
      </w:r>
    </w:p>
    <w:p w:rsidR="00DE43D6" w:rsidRPr="00CD65C0" w:rsidRDefault="00DE43D6" w:rsidP="00CD65C0">
      <w:pPr>
        <w:jc w:val="both"/>
        <w:rPr>
          <w:rFonts w:cstheme="minorHAnsi"/>
          <w:sz w:val="24"/>
          <w:szCs w:val="24"/>
          <w:lang w:val="en-GB"/>
        </w:rPr>
      </w:pPr>
    </w:p>
    <w:p w:rsidR="00FC5797" w:rsidRPr="00CD65C0" w:rsidRDefault="00FC5797" w:rsidP="00CD65C0">
      <w:pPr>
        <w:pStyle w:val="Liststycke"/>
        <w:numPr>
          <w:ilvl w:val="0"/>
          <w:numId w:val="14"/>
        </w:numPr>
        <w:jc w:val="both"/>
        <w:rPr>
          <w:rFonts w:asciiTheme="minorHAnsi" w:hAnsiTheme="minorHAnsi" w:cstheme="minorHAnsi"/>
          <w:sz w:val="24"/>
          <w:szCs w:val="24"/>
          <w:lang w:val="en-GB"/>
        </w:rPr>
      </w:pPr>
      <w:r w:rsidRPr="00CD65C0">
        <w:rPr>
          <w:rFonts w:asciiTheme="minorHAnsi" w:hAnsiTheme="minorHAnsi" w:cstheme="minorHAnsi"/>
          <w:sz w:val="24"/>
          <w:szCs w:val="24"/>
          <w:lang w:val="en-GB"/>
        </w:rPr>
        <w:t xml:space="preserve">Access to working level for SEEA accounts can allow to improve the methodology outlined in the general guidelines and is therefore an important requirement for any implementation exercise. </w:t>
      </w:r>
    </w:p>
    <w:p w:rsidR="00E005C6" w:rsidRPr="00CD65C0" w:rsidRDefault="00E005C6" w:rsidP="00CD65C0">
      <w:pPr>
        <w:jc w:val="both"/>
        <w:rPr>
          <w:rFonts w:cstheme="minorHAnsi"/>
          <w:sz w:val="24"/>
          <w:szCs w:val="24"/>
          <w:lang w:val="en-GB"/>
        </w:rPr>
      </w:pPr>
    </w:p>
    <w:p w:rsidR="00726A18" w:rsidRPr="00CD65C0" w:rsidRDefault="00CB7254" w:rsidP="00CD65C0">
      <w:pPr>
        <w:jc w:val="both"/>
        <w:rPr>
          <w:rFonts w:cstheme="minorHAnsi"/>
          <w:sz w:val="24"/>
          <w:szCs w:val="24"/>
          <w:lang w:val="en-GB"/>
        </w:rPr>
      </w:pPr>
      <w:r w:rsidRPr="00CD65C0">
        <w:rPr>
          <w:rFonts w:cstheme="minorHAnsi"/>
          <w:sz w:val="24"/>
          <w:szCs w:val="24"/>
          <w:lang w:val="en-GB"/>
        </w:rPr>
        <w:t>As explained in</w:t>
      </w:r>
      <w:r w:rsidR="00E005C6" w:rsidRPr="00CD65C0">
        <w:rPr>
          <w:rFonts w:cstheme="minorHAnsi"/>
          <w:sz w:val="24"/>
          <w:szCs w:val="24"/>
          <w:lang w:val="en-GB"/>
        </w:rPr>
        <w:t xml:space="preserve"> §</w:t>
      </w:r>
      <w:r w:rsidRPr="00CD65C0">
        <w:rPr>
          <w:rFonts w:cstheme="minorHAnsi"/>
          <w:sz w:val="24"/>
          <w:szCs w:val="24"/>
          <w:lang w:val="en-GB"/>
        </w:rPr>
        <w:t xml:space="preserve"> </w:t>
      </w:r>
      <w:r w:rsidRPr="00CD65C0">
        <w:rPr>
          <w:rFonts w:cstheme="minorHAnsi"/>
          <w:sz w:val="24"/>
          <w:szCs w:val="24"/>
          <w:lang w:val="en-GB"/>
        </w:rPr>
        <w:fldChar w:fldCharType="begin"/>
      </w:r>
      <w:r w:rsidRPr="00CD65C0">
        <w:rPr>
          <w:rFonts w:cstheme="minorHAnsi"/>
          <w:sz w:val="24"/>
          <w:szCs w:val="24"/>
          <w:lang w:val="en-GB"/>
        </w:rPr>
        <w:instrText xml:space="preserve"> REF _Ref521661824 \r \h </w:instrText>
      </w:r>
      <w:r w:rsidR="000B0B08" w:rsidRPr="00CD65C0">
        <w:rPr>
          <w:rFonts w:cstheme="minorHAnsi"/>
          <w:sz w:val="24"/>
          <w:szCs w:val="24"/>
          <w:lang w:val="en-GB"/>
        </w:rPr>
        <w:instrText xml:space="preserve"> \* MERGEFORMAT </w:instrText>
      </w:r>
      <w:r w:rsidRPr="00CD65C0">
        <w:rPr>
          <w:rFonts w:cstheme="minorHAnsi"/>
          <w:sz w:val="24"/>
          <w:szCs w:val="24"/>
          <w:lang w:val="en-GB"/>
        </w:rPr>
      </w:r>
      <w:r w:rsidRPr="00CD65C0">
        <w:rPr>
          <w:rFonts w:cstheme="minorHAnsi"/>
          <w:sz w:val="24"/>
          <w:szCs w:val="24"/>
          <w:lang w:val="en-GB"/>
        </w:rPr>
        <w:fldChar w:fldCharType="separate"/>
      </w:r>
      <w:r w:rsidR="00747D9C">
        <w:rPr>
          <w:rFonts w:cstheme="minorHAnsi"/>
          <w:sz w:val="24"/>
          <w:szCs w:val="24"/>
          <w:lang w:val="en-GB"/>
        </w:rPr>
        <w:t>2</w:t>
      </w:r>
      <w:r w:rsidRPr="00CD65C0">
        <w:rPr>
          <w:rFonts w:cstheme="minorHAnsi"/>
          <w:sz w:val="24"/>
          <w:szCs w:val="24"/>
          <w:lang w:val="en-GB"/>
        </w:rPr>
        <w:fldChar w:fldCharType="end"/>
      </w:r>
      <w:r w:rsidRPr="00CD65C0">
        <w:rPr>
          <w:rFonts w:cstheme="minorHAnsi"/>
          <w:sz w:val="24"/>
          <w:szCs w:val="24"/>
          <w:lang w:val="en-GB"/>
        </w:rPr>
        <w:t>, in order to estimate the tourism share of emissions and energy use, the Italian TSA-SEEA case study applie</w:t>
      </w:r>
      <w:r w:rsidR="004B218C" w:rsidRPr="00CD65C0">
        <w:rPr>
          <w:rFonts w:cstheme="minorHAnsi"/>
          <w:sz w:val="24"/>
          <w:szCs w:val="24"/>
          <w:lang w:val="en-GB"/>
        </w:rPr>
        <w:t>s</w:t>
      </w:r>
      <w:r w:rsidRPr="00CD65C0">
        <w:rPr>
          <w:rFonts w:cstheme="minorHAnsi"/>
          <w:sz w:val="24"/>
          <w:szCs w:val="24"/>
          <w:lang w:val="en-GB"/>
        </w:rPr>
        <w:t xml:space="preserve"> in many instances the Technical Note suggestion to use TSA derived output ratios, calculated by dividing an industry’s output sold to visitors by its total output. </w:t>
      </w:r>
      <w:r w:rsidRPr="00C627A1">
        <w:rPr>
          <w:rFonts w:cstheme="minorHAnsi"/>
          <w:sz w:val="24"/>
          <w:szCs w:val="24"/>
          <w:lang w:val="en-GB"/>
        </w:rPr>
        <w:t xml:space="preserve">However, </w:t>
      </w:r>
      <w:r w:rsidR="00726A18" w:rsidRPr="00C627A1">
        <w:rPr>
          <w:rFonts w:cstheme="minorHAnsi"/>
          <w:sz w:val="24"/>
          <w:szCs w:val="24"/>
          <w:lang w:val="en-GB"/>
        </w:rPr>
        <w:t xml:space="preserve">the Italian case study, </w:t>
      </w:r>
      <w:r w:rsidR="00FC5797" w:rsidRPr="00C627A1">
        <w:rPr>
          <w:rFonts w:cstheme="minorHAnsi"/>
          <w:sz w:val="24"/>
          <w:szCs w:val="24"/>
          <w:lang w:val="en-GB"/>
        </w:rPr>
        <w:t xml:space="preserve">also </w:t>
      </w:r>
      <w:r w:rsidR="004B218C" w:rsidRPr="00C627A1">
        <w:rPr>
          <w:rFonts w:cstheme="minorHAnsi"/>
          <w:sz w:val="24"/>
          <w:szCs w:val="24"/>
          <w:lang w:val="en-GB"/>
        </w:rPr>
        <w:t xml:space="preserve">calculates </w:t>
      </w:r>
      <w:r w:rsidRPr="00C627A1">
        <w:rPr>
          <w:rFonts w:cstheme="minorHAnsi"/>
          <w:sz w:val="24"/>
          <w:szCs w:val="24"/>
          <w:lang w:val="en-GB"/>
        </w:rPr>
        <w:t>product specific coefficients to derive tourism shares for environmental flows in the case of the four tourism industries that supply transport services (3- Railway passenger transport, 4- Road passenger transport, 5- Water passenger transpo</w:t>
      </w:r>
      <w:r w:rsidR="004B218C" w:rsidRPr="00C627A1">
        <w:rPr>
          <w:rFonts w:cstheme="minorHAnsi"/>
          <w:sz w:val="24"/>
          <w:szCs w:val="24"/>
          <w:lang w:val="en-GB"/>
        </w:rPr>
        <w:t>rt, 6- Air passenger transport</w:t>
      </w:r>
      <w:r w:rsidR="00C627A1" w:rsidRPr="00C627A1">
        <w:rPr>
          <w:rFonts w:cstheme="minorHAnsi"/>
          <w:sz w:val="24"/>
          <w:szCs w:val="24"/>
          <w:lang w:val="en-GB"/>
        </w:rPr>
        <w:t>)</w:t>
      </w:r>
      <w:r w:rsidR="004B218C" w:rsidRPr="00C627A1">
        <w:rPr>
          <w:rFonts w:cstheme="minorHAnsi"/>
          <w:color w:val="FF0000"/>
          <w:sz w:val="24"/>
          <w:szCs w:val="24"/>
          <w:lang w:val="en-GB"/>
        </w:rPr>
        <w:t>.</w:t>
      </w:r>
      <w:r w:rsidR="004B218C" w:rsidRPr="00C627A1">
        <w:rPr>
          <w:rFonts w:cstheme="minorHAnsi"/>
          <w:sz w:val="24"/>
          <w:szCs w:val="24"/>
          <w:lang w:val="en-GB"/>
        </w:rPr>
        <w:t xml:space="preserve"> </w:t>
      </w:r>
      <w:r w:rsidR="004B218C" w:rsidRPr="00CD65C0">
        <w:rPr>
          <w:rFonts w:cstheme="minorHAnsi"/>
          <w:sz w:val="24"/>
          <w:szCs w:val="24"/>
          <w:lang w:val="en-GB"/>
        </w:rPr>
        <w:t xml:space="preserve">This is made possible by </w:t>
      </w:r>
      <w:r w:rsidR="00726A18" w:rsidRPr="00CD65C0">
        <w:rPr>
          <w:rFonts w:cstheme="minorHAnsi"/>
          <w:sz w:val="24"/>
          <w:szCs w:val="24"/>
          <w:lang w:val="en-GB"/>
        </w:rPr>
        <w:t>the availability of air emissions data broken down not only by NACE but also by process (for example transport and heating) as well as the availability of energy use data by purpose (transport, heating, etc.)</w:t>
      </w:r>
      <w:r w:rsidR="004B218C" w:rsidRPr="00CD65C0">
        <w:rPr>
          <w:rFonts w:cstheme="minorHAnsi"/>
          <w:sz w:val="24"/>
          <w:szCs w:val="24"/>
          <w:lang w:val="en-GB"/>
        </w:rPr>
        <w:t xml:space="preserve">: </w:t>
      </w:r>
      <w:r w:rsidR="00726A18" w:rsidRPr="00CD65C0">
        <w:rPr>
          <w:rFonts w:cstheme="minorHAnsi"/>
          <w:sz w:val="24"/>
          <w:szCs w:val="24"/>
          <w:lang w:val="en-GB"/>
        </w:rPr>
        <w:t xml:space="preserve">air emissions and energy use related to the specific transport service supplied as principal activity can be separately identified in the data sources. </w:t>
      </w:r>
    </w:p>
    <w:p w:rsidR="00DE43D6" w:rsidRPr="00CD65C0" w:rsidRDefault="00DE43D6" w:rsidP="00CD65C0">
      <w:pPr>
        <w:jc w:val="both"/>
        <w:rPr>
          <w:rFonts w:cstheme="minorHAnsi"/>
          <w:sz w:val="24"/>
          <w:szCs w:val="24"/>
          <w:lang w:val="en-GB"/>
        </w:rPr>
      </w:pPr>
    </w:p>
    <w:p w:rsidR="008C3A34" w:rsidRDefault="00C15B60" w:rsidP="00365420">
      <w:pPr>
        <w:pStyle w:val="Liststycke"/>
        <w:numPr>
          <w:ilvl w:val="0"/>
          <w:numId w:val="14"/>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Further development of </w:t>
      </w:r>
      <w:r w:rsidR="00E16D22" w:rsidRPr="00365420">
        <w:rPr>
          <w:rFonts w:asciiTheme="minorHAnsi" w:hAnsiTheme="minorHAnsi" w:cstheme="minorHAnsi"/>
          <w:sz w:val="24"/>
          <w:szCs w:val="24"/>
          <w:lang w:val="en-GB"/>
        </w:rPr>
        <w:t>methodological and implementatio</w:t>
      </w:r>
      <w:r>
        <w:rPr>
          <w:rFonts w:asciiTheme="minorHAnsi" w:hAnsiTheme="minorHAnsi" w:cstheme="minorHAnsi"/>
          <w:sz w:val="24"/>
          <w:szCs w:val="24"/>
          <w:lang w:val="en-GB"/>
        </w:rPr>
        <w:t>n issues concerning consumption-</w:t>
      </w:r>
      <w:r w:rsidR="00E16D22" w:rsidRPr="00365420">
        <w:rPr>
          <w:rFonts w:asciiTheme="minorHAnsi" w:hAnsiTheme="minorHAnsi" w:cstheme="minorHAnsi"/>
          <w:sz w:val="24"/>
          <w:szCs w:val="24"/>
          <w:lang w:val="en-GB"/>
        </w:rPr>
        <w:t xml:space="preserve">related tourism environmental flows are needed in order to improve the overall statistical representation of integrated environmental and economic tourism accounts. </w:t>
      </w:r>
    </w:p>
    <w:p w:rsidR="00006C1A" w:rsidRDefault="00006C1A" w:rsidP="00006C1A">
      <w:pPr>
        <w:ind w:left="720"/>
        <w:jc w:val="both"/>
        <w:rPr>
          <w:rFonts w:cstheme="minorHAnsi"/>
          <w:sz w:val="24"/>
          <w:szCs w:val="24"/>
          <w:lang w:val="en-GB"/>
        </w:rPr>
      </w:pPr>
    </w:p>
    <w:p w:rsidR="00006C1A" w:rsidRPr="00365420" w:rsidRDefault="00006C1A" w:rsidP="00006C1A">
      <w:pPr>
        <w:pStyle w:val="Liststycke"/>
        <w:numPr>
          <w:ilvl w:val="0"/>
          <w:numId w:val="14"/>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Ecosystem accounting </w:t>
      </w:r>
      <w:r w:rsidRPr="00006C1A">
        <w:rPr>
          <w:rFonts w:asciiTheme="minorHAnsi" w:hAnsiTheme="minorHAnsi" w:cstheme="minorHAnsi"/>
          <w:sz w:val="24"/>
          <w:szCs w:val="24"/>
          <w:lang w:val="en-GB"/>
        </w:rPr>
        <w:t xml:space="preserve">may play an important role </w:t>
      </w:r>
      <w:r>
        <w:rPr>
          <w:rFonts w:asciiTheme="minorHAnsi" w:hAnsiTheme="minorHAnsi" w:cstheme="minorHAnsi"/>
          <w:sz w:val="24"/>
          <w:szCs w:val="24"/>
          <w:lang w:val="en-GB"/>
        </w:rPr>
        <w:t>for the purposes of enlarging the demand perspective in measuring the sustainability of tourism to cover impacts directly exerted by visitors on environmental assets.</w:t>
      </w:r>
    </w:p>
    <w:p w:rsidR="00E16D22" w:rsidRPr="00812C7E" w:rsidRDefault="00E16D22" w:rsidP="008C3A34">
      <w:pPr>
        <w:jc w:val="both"/>
        <w:rPr>
          <w:rFonts w:cstheme="minorHAnsi"/>
          <w:sz w:val="24"/>
          <w:szCs w:val="24"/>
          <w:lang w:val="en-US"/>
        </w:rPr>
      </w:pPr>
    </w:p>
    <w:p w:rsidR="000A77B6" w:rsidRPr="00C07FDE" w:rsidRDefault="0083048E" w:rsidP="00C07FDE">
      <w:pPr>
        <w:pStyle w:val="Rubrik2"/>
        <w:spacing w:line="276" w:lineRule="auto"/>
        <w:jc w:val="both"/>
        <w:rPr>
          <w:rFonts w:asciiTheme="minorHAnsi" w:hAnsiTheme="minorHAnsi" w:cstheme="minorHAnsi"/>
          <w:lang w:val="en-GB"/>
        </w:rPr>
      </w:pPr>
      <w:bookmarkStart w:id="25" w:name="_Toc524965950"/>
      <w:r w:rsidRPr="00C07FDE">
        <w:rPr>
          <w:rFonts w:asciiTheme="minorHAnsi" w:hAnsiTheme="minorHAnsi" w:cstheme="minorHAnsi"/>
          <w:lang w:val="en-GB"/>
        </w:rPr>
        <w:t>Main r</w:t>
      </w:r>
      <w:r w:rsidR="000A77B6" w:rsidRPr="00C07FDE">
        <w:rPr>
          <w:rFonts w:asciiTheme="minorHAnsi" w:hAnsiTheme="minorHAnsi" w:cstheme="minorHAnsi"/>
          <w:lang w:val="en-GB"/>
        </w:rPr>
        <w:t>eferences</w:t>
      </w:r>
      <w:bookmarkEnd w:id="25"/>
    </w:p>
    <w:p w:rsidR="00816E67" w:rsidRPr="00CD65C0" w:rsidRDefault="00816E67" w:rsidP="00CD65C0">
      <w:pPr>
        <w:jc w:val="both"/>
        <w:rPr>
          <w:sz w:val="24"/>
          <w:szCs w:val="24"/>
        </w:rPr>
      </w:pPr>
    </w:p>
    <w:p w:rsidR="00816E67" w:rsidRPr="00CD65C0" w:rsidRDefault="00A537A4" w:rsidP="00CD65C0">
      <w:pPr>
        <w:jc w:val="both"/>
        <w:rPr>
          <w:sz w:val="24"/>
          <w:szCs w:val="24"/>
          <w:lang w:val="en-US"/>
        </w:rPr>
      </w:pPr>
      <w:r>
        <w:rPr>
          <w:sz w:val="24"/>
          <w:szCs w:val="24"/>
          <w:lang w:val="en-US"/>
        </w:rPr>
        <w:t xml:space="preserve">Costantino C., </w:t>
      </w:r>
      <w:r w:rsidR="008D0B73">
        <w:rPr>
          <w:sz w:val="24"/>
          <w:szCs w:val="24"/>
          <w:lang w:val="en-US"/>
        </w:rPr>
        <w:t>Tudini A. (</w:t>
      </w:r>
      <w:r w:rsidR="00816E67" w:rsidRPr="00CD65C0">
        <w:rPr>
          <w:sz w:val="24"/>
          <w:szCs w:val="24"/>
          <w:lang w:val="en-US"/>
        </w:rPr>
        <w:t>2005</w:t>
      </w:r>
      <w:r w:rsidR="008D0B73">
        <w:rPr>
          <w:sz w:val="24"/>
          <w:szCs w:val="24"/>
          <w:lang w:val="en-US"/>
        </w:rPr>
        <w:t>)</w:t>
      </w:r>
      <w:r w:rsidR="00816E67" w:rsidRPr="00CD65C0">
        <w:rPr>
          <w:sz w:val="24"/>
          <w:szCs w:val="24"/>
          <w:lang w:val="en-US"/>
        </w:rPr>
        <w:t>, "How to develop an accounting framework for ecologically sustainable tourism", in Lanza A. – Markandya A. – Pigliaru F. (editors</w:t>
      </w:r>
      <w:r w:rsidR="00816E67" w:rsidRPr="00CD65C0">
        <w:rPr>
          <w:i/>
          <w:sz w:val="24"/>
          <w:szCs w:val="24"/>
          <w:lang w:val="en-US"/>
        </w:rPr>
        <w:t>), The Economics of Tourism and Sustainable Development</w:t>
      </w:r>
      <w:r w:rsidR="00816E67" w:rsidRPr="00CD65C0">
        <w:rPr>
          <w:sz w:val="24"/>
          <w:szCs w:val="24"/>
          <w:lang w:val="en-US"/>
        </w:rPr>
        <w:t>, The Fondazione ENI Enrico Mattei series on Economics and the Environment, Edward Elgar, UK, USA</w:t>
      </w:r>
    </w:p>
    <w:p w:rsidR="00816E67" w:rsidRPr="00CD65C0" w:rsidRDefault="00816E67" w:rsidP="00CD65C0">
      <w:pPr>
        <w:jc w:val="both"/>
        <w:rPr>
          <w:sz w:val="24"/>
          <w:szCs w:val="24"/>
        </w:rPr>
      </w:pPr>
    </w:p>
    <w:p w:rsidR="008D0B73" w:rsidRPr="00E73A4E" w:rsidRDefault="008D0B73" w:rsidP="008D0B73">
      <w:pPr>
        <w:rPr>
          <w:sz w:val="24"/>
          <w:szCs w:val="24"/>
          <w:lang w:val="en-US"/>
        </w:rPr>
      </w:pPr>
      <w:r>
        <w:rPr>
          <w:sz w:val="24"/>
          <w:szCs w:val="24"/>
          <w:lang w:val="en-US"/>
        </w:rPr>
        <w:t>Costantino C. (</w:t>
      </w:r>
      <w:r w:rsidRPr="00506FE8">
        <w:rPr>
          <w:sz w:val="24"/>
          <w:szCs w:val="24"/>
          <w:lang w:val="en-US"/>
        </w:rPr>
        <w:t>2017</w:t>
      </w:r>
      <w:r>
        <w:rPr>
          <w:sz w:val="24"/>
          <w:szCs w:val="24"/>
          <w:lang w:val="en-US"/>
        </w:rPr>
        <w:t>)</w:t>
      </w:r>
      <w:r w:rsidRPr="00506FE8">
        <w:rPr>
          <w:sz w:val="24"/>
          <w:szCs w:val="24"/>
          <w:lang w:val="en-US"/>
        </w:rPr>
        <w:t xml:space="preserve">, “Options for allocating environmental flows to tourism through integration of data from tourism and environmental-economic accounts”, Paper prepared for the </w:t>
      </w:r>
      <w:r w:rsidRPr="00506FE8">
        <w:rPr>
          <w:i/>
          <w:sz w:val="24"/>
          <w:szCs w:val="24"/>
          <w:lang w:val="en-US"/>
        </w:rPr>
        <w:t>17th meeting of the UNWTO Committee on Statistics and Tourism Satellite Accounts</w:t>
      </w:r>
      <w:r w:rsidRPr="00506FE8">
        <w:rPr>
          <w:sz w:val="24"/>
          <w:szCs w:val="24"/>
          <w:lang w:val="en-US"/>
        </w:rPr>
        <w:t xml:space="preserve">, January 2017, Madrid. </w:t>
      </w:r>
      <w:hyperlink r:id="rId18" w:history="1">
        <w:r w:rsidRPr="00E73A4E">
          <w:rPr>
            <w:rStyle w:val="Hyperlnk"/>
            <w:sz w:val="24"/>
            <w:szCs w:val="24"/>
            <w:lang w:val="en-US"/>
          </w:rPr>
          <w:t>http://statistics.unwto.org/committeestsa_17thmeeting</w:t>
        </w:r>
      </w:hyperlink>
      <w:r w:rsidRPr="00E73A4E">
        <w:rPr>
          <w:sz w:val="24"/>
          <w:szCs w:val="24"/>
          <w:lang w:val="en-US"/>
        </w:rPr>
        <w:t xml:space="preserve"> </w:t>
      </w:r>
    </w:p>
    <w:p w:rsidR="008D0B73" w:rsidRDefault="008D0B73" w:rsidP="00CD65C0">
      <w:pPr>
        <w:jc w:val="both"/>
        <w:rPr>
          <w:sz w:val="24"/>
          <w:szCs w:val="24"/>
        </w:rPr>
      </w:pPr>
    </w:p>
    <w:p w:rsidR="00780FD0" w:rsidRPr="00E73A4E" w:rsidRDefault="00780FD0" w:rsidP="000123AF">
      <w:pPr>
        <w:jc w:val="both"/>
        <w:rPr>
          <w:rFonts w:cs="Arial"/>
          <w:sz w:val="24"/>
          <w:szCs w:val="24"/>
          <w:lang w:val="en-US"/>
        </w:rPr>
      </w:pPr>
      <w:r w:rsidRPr="00E73A4E">
        <w:rPr>
          <w:rFonts w:cs="Arial"/>
          <w:sz w:val="24"/>
          <w:szCs w:val="24"/>
          <w:lang w:val="en-US"/>
        </w:rPr>
        <w:t xml:space="preserve">Costantino C. (2018, forthcoming), </w:t>
      </w:r>
      <w:r w:rsidR="00950DCF" w:rsidRPr="00E73A4E">
        <w:rPr>
          <w:rFonts w:cs="Arial"/>
          <w:sz w:val="24"/>
          <w:szCs w:val="24"/>
          <w:lang w:val="en-US"/>
        </w:rPr>
        <w:t>“The demand perspective in measuring the sustainability of tourism with specific focus on environmental aspects”, Paper prepared for</w:t>
      </w:r>
      <w:r w:rsidR="003C3350" w:rsidRPr="00E73A4E">
        <w:rPr>
          <w:rFonts w:cs="Arial"/>
          <w:sz w:val="24"/>
          <w:szCs w:val="24"/>
          <w:lang w:val="en-US"/>
        </w:rPr>
        <w:t xml:space="preserve"> </w:t>
      </w:r>
      <w:r w:rsidR="000123AF" w:rsidRPr="00E73A4E">
        <w:rPr>
          <w:rFonts w:cs="Arial"/>
          <w:sz w:val="24"/>
          <w:szCs w:val="24"/>
          <w:lang w:val="en-US"/>
        </w:rPr>
        <w:t xml:space="preserve">the </w:t>
      </w:r>
      <w:r w:rsidR="000123AF" w:rsidRPr="00746601">
        <w:rPr>
          <w:i/>
          <w:sz w:val="24"/>
          <w:szCs w:val="24"/>
          <w:lang w:val="en-US"/>
        </w:rPr>
        <w:t xml:space="preserve">Second meeting of the </w:t>
      </w:r>
      <w:r w:rsidR="00206B71" w:rsidRPr="00506FE8">
        <w:rPr>
          <w:i/>
          <w:sz w:val="24"/>
          <w:szCs w:val="24"/>
          <w:lang w:val="en-US"/>
        </w:rPr>
        <w:t xml:space="preserve">UNWTO </w:t>
      </w:r>
      <w:r w:rsidR="000123AF" w:rsidRPr="00746601">
        <w:rPr>
          <w:i/>
          <w:sz w:val="24"/>
          <w:szCs w:val="24"/>
          <w:lang w:val="en-US"/>
        </w:rPr>
        <w:t>Working Group of Experts on Measuring the Sustainability of Tourism</w:t>
      </w:r>
      <w:r w:rsidR="000123AF" w:rsidRPr="00E73A4E">
        <w:rPr>
          <w:rFonts w:cs="Arial"/>
          <w:sz w:val="24"/>
          <w:szCs w:val="24"/>
          <w:lang w:val="en-US"/>
        </w:rPr>
        <w:t xml:space="preserve">, </w:t>
      </w:r>
      <w:r w:rsidR="00746601" w:rsidRPr="00E73A4E">
        <w:rPr>
          <w:rFonts w:cs="Arial"/>
          <w:sz w:val="24"/>
          <w:szCs w:val="24"/>
          <w:lang w:val="en-US"/>
        </w:rPr>
        <w:t xml:space="preserve">October 2018, </w:t>
      </w:r>
      <w:r w:rsidR="000123AF" w:rsidRPr="00E73A4E">
        <w:rPr>
          <w:rFonts w:cs="Arial"/>
          <w:sz w:val="24"/>
          <w:szCs w:val="24"/>
          <w:lang w:val="en-US"/>
        </w:rPr>
        <w:t>Madrid.</w:t>
      </w:r>
    </w:p>
    <w:p w:rsidR="00780FD0" w:rsidRDefault="00780FD0" w:rsidP="00CD65C0">
      <w:pPr>
        <w:jc w:val="both"/>
        <w:rPr>
          <w:sz w:val="24"/>
          <w:szCs w:val="24"/>
        </w:rPr>
      </w:pPr>
    </w:p>
    <w:p w:rsidR="00900C85" w:rsidRPr="00CD65C0" w:rsidRDefault="0089511A" w:rsidP="00CD65C0">
      <w:pPr>
        <w:jc w:val="both"/>
        <w:rPr>
          <w:sz w:val="24"/>
          <w:szCs w:val="24"/>
        </w:rPr>
      </w:pPr>
      <w:r w:rsidRPr="00CD65C0">
        <w:rPr>
          <w:sz w:val="24"/>
          <w:szCs w:val="24"/>
        </w:rPr>
        <w:t xml:space="preserve">Istat </w:t>
      </w:r>
      <w:r w:rsidR="008D0B73">
        <w:rPr>
          <w:sz w:val="24"/>
          <w:szCs w:val="24"/>
        </w:rPr>
        <w:t>(</w:t>
      </w:r>
      <w:r w:rsidRPr="00CD65C0">
        <w:rPr>
          <w:sz w:val="24"/>
          <w:szCs w:val="24"/>
        </w:rPr>
        <w:t>2017</w:t>
      </w:r>
      <w:r w:rsidR="008D0B73">
        <w:rPr>
          <w:sz w:val="24"/>
          <w:szCs w:val="24"/>
        </w:rPr>
        <w:t>)</w:t>
      </w:r>
      <w:r w:rsidRPr="00CD65C0">
        <w:rPr>
          <w:sz w:val="24"/>
          <w:szCs w:val="24"/>
        </w:rPr>
        <w:t xml:space="preserve">, </w:t>
      </w:r>
      <w:r w:rsidRPr="00093BA6">
        <w:rPr>
          <w:rFonts w:cs="Arial"/>
          <w:sz w:val="24"/>
          <w:szCs w:val="24"/>
          <w:lang w:val="it-IT"/>
        </w:rPr>
        <w:t xml:space="preserve">Conto satellite del turismo per l’Italia, </w:t>
      </w:r>
      <w:hyperlink r:id="rId19" w:history="1">
        <w:r w:rsidRPr="00093BA6">
          <w:rPr>
            <w:rStyle w:val="Hyperlnk"/>
            <w:rFonts w:cs="Arial"/>
            <w:sz w:val="24"/>
            <w:szCs w:val="24"/>
            <w:lang w:val="it-IT"/>
          </w:rPr>
          <w:t>https://www.ist</w:t>
        </w:r>
        <w:r w:rsidRPr="00CD65C0">
          <w:rPr>
            <w:rStyle w:val="Hyperlnk"/>
            <w:rFonts w:cs="Arial"/>
            <w:sz w:val="24"/>
            <w:szCs w:val="24"/>
            <w:lang w:val="it-IT"/>
          </w:rPr>
          <w:t>at.it/it/archivio/207454</w:t>
        </w:r>
      </w:hyperlink>
      <w:r w:rsidRPr="00CD65C0">
        <w:rPr>
          <w:rFonts w:cs="Arial"/>
          <w:sz w:val="24"/>
          <w:szCs w:val="24"/>
          <w:lang w:val="it-IT"/>
        </w:rPr>
        <w:t xml:space="preserve">; English version: </w:t>
      </w:r>
      <w:hyperlink r:id="rId20" w:history="1">
        <w:r w:rsidR="00604F51" w:rsidRPr="00CD65C0">
          <w:rPr>
            <w:rStyle w:val="Hyperlnk"/>
            <w:rFonts w:cs="Arial"/>
            <w:sz w:val="24"/>
            <w:szCs w:val="24"/>
            <w:lang w:val="it-IT"/>
          </w:rPr>
          <w:t>http://www.istat.it/en/archive/20 8130</w:t>
        </w:r>
      </w:hyperlink>
    </w:p>
    <w:p w:rsidR="00900C85" w:rsidRPr="00CD65C0" w:rsidRDefault="00900C85" w:rsidP="00CD65C0">
      <w:pPr>
        <w:jc w:val="both"/>
        <w:rPr>
          <w:sz w:val="24"/>
          <w:szCs w:val="24"/>
        </w:rPr>
      </w:pPr>
    </w:p>
    <w:p w:rsidR="00CD65C0" w:rsidRDefault="00370196" w:rsidP="00CD65C0">
      <w:pPr>
        <w:spacing w:line="276" w:lineRule="auto"/>
        <w:jc w:val="both"/>
        <w:rPr>
          <w:rFonts w:cs="Arial"/>
          <w:sz w:val="24"/>
          <w:szCs w:val="24"/>
          <w:lang w:val="en-US"/>
        </w:rPr>
      </w:pPr>
      <w:r w:rsidRPr="00CD65C0">
        <w:rPr>
          <w:rFonts w:cs="Arial"/>
          <w:sz w:val="24"/>
          <w:szCs w:val="24"/>
          <w:lang w:val="en-US"/>
        </w:rPr>
        <w:t>Istat</w:t>
      </w:r>
      <w:r w:rsidR="008D0B73">
        <w:rPr>
          <w:rFonts w:cs="Arial"/>
          <w:sz w:val="24"/>
          <w:szCs w:val="24"/>
          <w:lang w:val="en-US"/>
        </w:rPr>
        <w:t xml:space="preserve"> (</w:t>
      </w:r>
      <w:r w:rsidRPr="00CD65C0">
        <w:rPr>
          <w:rFonts w:cs="Arial"/>
          <w:sz w:val="24"/>
          <w:szCs w:val="24"/>
          <w:lang w:val="en-US"/>
        </w:rPr>
        <w:t>2017</w:t>
      </w:r>
      <w:r w:rsidR="008D0B73">
        <w:rPr>
          <w:rFonts w:cs="Arial"/>
          <w:sz w:val="24"/>
          <w:szCs w:val="24"/>
          <w:lang w:val="en-US"/>
        </w:rPr>
        <w:t>)</w:t>
      </w:r>
      <w:r w:rsidRPr="00CD65C0">
        <w:rPr>
          <w:rFonts w:cs="Arial"/>
          <w:sz w:val="24"/>
          <w:szCs w:val="24"/>
          <w:lang w:val="en-US"/>
        </w:rPr>
        <w:t xml:space="preserve"> Air emission accounts</w:t>
      </w:r>
    </w:p>
    <w:p w:rsidR="00370196" w:rsidRPr="00CD65C0" w:rsidRDefault="002C107F" w:rsidP="00CD65C0">
      <w:pPr>
        <w:spacing w:line="276" w:lineRule="auto"/>
        <w:jc w:val="both"/>
        <w:rPr>
          <w:rFonts w:cs="Arial"/>
          <w:sz w:val="24"/>
          <w:szCs w:val="24"/>
          <w:lang w:val="en-US"/>
        </w:rPr>
      </w:pPr>
      <w:hyperlink r:id="rId21" w:history="1">
        <w:r w:rsidR="00370196" w:rsidRPr="00CD65C0">
          <w:rPr>
            <w:rStyle w:val="Hyperlnk"/>
            <w:rFonts w:cs="Arial"/>
            <w:sz w:val="24"/>
            <w:szCs w:val="24"/>
            <w:lang w:val="en-US"/>
          </w:rPr>
          <w:t>http://dati.istat.it/Index.aspx?lang=en&amp;SubSessionId=7d9da96e-e22f-45ed-a07a-50ac25b25d47</w:t>
        </w:r>
      </w:hyperlink>
      <w:r w:rsidR="00370196" w:rsidRPr="00CD65C0">
        <w:rPr>
          <w:rFonts w:cs="Arial"/>
          <w:sz w:val="24"/>
          <w:szCs w:val="24"/>
          <w:lang w:val="en-US"/>
        </w:rPr>
        <w:t xml:space="preserve"> (National Accounts, Environmental Accounts, NAMEA air emissions – NACE REV.2, Production activities -December 2017 release) and related working level data.</w:t>
      </w:r>
    </w:p>
    <w:p w:rsidR="004D37D3" w:rsidRPr="00CD65C0" w:rsidRDefault="004D37D3" w:rsidP="00CD65C0">
      <w:pPr>
        <w:jc w:val="both"/>
        <w:rPr>
          <w:rFonts w:cs="Arial"/>
          <w:sz w:val="24"/>
          <w:szCs w:val="24"/>
          <w:lang w:val="en-US"/>
        </w:rPr>
      </w:pPr>
    </w:p>
    <w:p w:rsidR="00370196" w:rsidRPr="00CD65C0" w:rsidRDefault="008D0B73" w:rsidP="00CD65C0">
      <w:pPr>
        <w:jc w:val="both"/>
        <w:rPr>
          <w:sz w:val="24"/>
          <w:szCs w:val="24"/>
        </w:rPr>
      </w:pPr>
      <w:r>
        <w:rPr>
          <w:rFonts w:cs="Arial"/>
          <w:sz w:val="24"/>
          <w:szCs w:val="24"/>
          <w:lang w:val="en-US"/>
        </w:rPr>
        <w:t>Istat (</w:t>
      </w:r>
      <w:r w:rsidR="00370196" w:rsidRPr="00CD65C0">
        <w:rPr>
          <w:rFonts w:cs="Arial"/>
          <w:sz w:val="24"/>
          <w:szCs w:val="24"/>
          <w:lang w:val="en-US"/>
        </w:rPr>
        <w:t>2017</w:t>
      </w:r>
      <w:r>
        <w:rPr>
          <w:rFonts w:cs="Arial"/>
          <w:sz w:val="24"/>
          <w:szCs w:val="24"/>
          <w:lang w:val="en-US"/>
        </w:rPr>
        <w:t>)</w:t>
      </w:r>
      <w:r w:rsidR="00370196" w:rsidRPr="00CD65C0">
        <w:rPr>
          <w:rFonts w:cs="Arial"/>
          <w:sz w:val="24"/>
          <w:szCs w:val="24"/>
          <w:lang w:val="en-US"/>
        </w:rPr>
        <w:t xml:space="preserve"> Energy use  </w:t>
      </w:r>
      <w:hyperlink r:id="rId22" w:history="1">
        <w:r w:rsidR="00370196" w:rsidRPr="00CD65C0">
          <w:rPr>
            <w:rStyle w:val="Hyperlnk"/>
            <w:rFonts w:cs="Arial"/>
            <w:sz w:val="24"/>
            <w:szCs w:val="24"/>
            <w:lang w:val="en-US"/>
          </w:rPr>
          <w:t>http://dati.istat.it/Index.aspx?lang=en&amp;SubSessionId=726e7fe2-422e-4ea7-9386-28bd227346c9</w:t>
        </w:r>
      </w:hyperlink>
      <w:r w:rsidR="00370196" w:rsidRPr="00CD65C0">
        <w:rPr>
          <w:rFonts w:cs="Arial"/>
          <w:sz w:val="24"/>
          <w:szCs w:val="24"/>
          <w:lang w:val="en-US"/>
        </w:rPr>
        <w:t xml:space="preserve"> (National Accounts, Environmental Accounts, Energy use accounts, Economic activities – type of use - November 2017 release) and related working level data.</w:t>
      </w:r>
    </w:p>
    <w:p w:rsidR="00370196" w:rsidRPr="00CD65C0" w:rsidRDefault="00370196" w:rsidP="00CD65C0">
      <w:pPr>
        <w:jc w:val="both"/>
        <w:rPr>
          <w:sz w:val="24"/>
          <w:szCs w:val="24"/>
        </w:rPr>
      </w:pPr>
    </w:p>
    <w:p w:rsidR="00817ECF" w:rsidRDefault="00817ECF" w:rsidP="00817ECF">
      <w:pPr>
        <w:jc w:val="both"/>
        <w:rPr>
          <w:sz w:val="24"/>
          <w:szCs w:val="24"/>
          <w:lang w:val="en-GB"/>
        </w:rPr>
      </w:pPr>
      <w:r>
        <w:rPr>
          <w:sz w:val="24"/>
          <w:szCs w:val="24"/>
          <w:lang w:val="en-GB"/>
        </w:rPr>
        <w:t>T</w:t>
      </w:r>
      <w:r w:rsidR="008D0B73">
        <w:rPr>
          <w:sz w:val="24"/>
          <w:szCs w:val="24"/>
          <w:lang w:val="en-GB"/>
        </w:rPr>
        <w:t>udini A</w:t>
      </w:r>
      <w:r w:rsidR="00E468C5">
        <w:rPr>
          <w:sz w:val="24"/>
          <w:szCs w:val="24"/>
          <w:lang w:val="en-GB"/>
        </w:rPr>
        <w:t>.</w:t>
      </w:r>
      <w:r w:rsidR="008D0B73">
        <w:rPr>
          <w:sz w:val="24"/>
          <w:szCs w:val="24"/>
          <w:lang w:val="en-GB"/>
        </w:rPr>
        <w:t xml:space="preserve"> (</w:t>
      </w:r>
      <w:r>
        <w:rPr>
          <w:sz w:val="24"/>
          <w:szCs w:val="24"/>
          <w:lang w:val="en-GB"/>
        </w:rPr>
        <w:t>2016</w:t>
      </w:r>
      <w:r w:rsidR="008D0B73">
        <w:rPr>
          <w:sz w:val="24"/>
          <w:szCs w:val="24"/>
          <w:lang w:val="en-GB"/>
        </w:rPr>
        <w:t>)</w:t>
      </w:r>
      <w:r>
        <w:rPr>
          <w:sz w:val="24"/>
          <w:szCs w:val="24"/>
          <w:lang w:val="en-GB"/>
        </w:rPr>
        <w:t xml:space="preserve">, </w:t>
      </w:r>
      <w:r w:rsidRPr="0046319D">
        <w:rPr>
          <w:i/>
          <w:sz w:val="24"/>
          <w:szCs w:val="24"/>
          <w:lang w:val="en-GB"/>
        </w:rPr>
        <w:t>Environmentally extended tourism satellite accounts for Italy – Extended outline</w:t>
      </w:r>
      <w:r>
        <w:rPr>
          <w:sz w:val="24"/>
          <w:szCs w:val="24"/>
          <w:lang w:val="en-GB"/>
        </w:rPr>
        <w:t xml:space="preserve">; paper </w:t>
      </w:r>
      <w:r w:rsidRPr="00817ECF">
        <w:rPr>
          <w:sz w:val="24"/>
          <w:szCs w:val="24"/>
          <w:lang w:val="en-GB"/>
        </w:rPr>
        <w:t>prepared for the Meeting of the Working Group of experts on Measuring Sustainable Tourism</w:t>
      </w:r>
      <w:r>
        <w:rPr>
          <w:sz w:val="24"/>
          <w:szCs w:val="24"/>
          <w:lang w:val="en-GB"/>
        </w:rPr>
        <w:t xml:space="preserve"> </w:t>
      </w:r>
      <w:r w:rsidRPr="00817ECF">
        <w:rPr>
          <w:sz w:val="24"/>
          <w:szCs w:val="24"/>
          <w:lang w:val="en-GB"/>
        </w:rPr>
        <w:t>20</w:t>
      </w:r>
      <w:r>
        <w:rPr>
          <w:sz w:val="24"/>
          <w:szCs w:val="24"/>
          <w:lang w:val="en-GB"/>
        </w:rPr>
        <w:t>-</w:t>
      </w:r>
      <w:r w:rsidRPr="00817ECF">
        <w:rPr>
          <w:sz w:val="24"/>
          <w:szCs w:val="24"/>
          <w:lang w:val="en-GB"/>
        </w:rPr>
        <w:t>21 October 2016</w:t>
      </w:r>
      <w:r>
        <w:rPr>
          <w:sz w:val="24"/>
          <w:szCs w:val="24"/>
          <w:lang w:val="en-GB"/>
        </w:rPr>
        <w:t xml:space="preserve">, </w:t>
      </w:r>
      <w:r w:rsidRPr="00817ECF">
        <w:rPr>
          <w:sz w:val="24"/>
          <w:szCs w:val="24"/>
          <w:lang w:val="en-GB"/>
        </w:rPr>
        <w:t>UNWTO Headquarters, Madrid, Spain</w:t>
      </w:r>
      <w:r>
        <w:rPr>
          <w:sz w:val="24"/>
          <w:szCs w:val="24"/>
          <w:lang w:val="en-GB"/>
        </w:rPr>
        <w:t xml:space="preserve">; </w:t>
      </w:r>
      <w:hyperlink r:id="rId23" w:history="1">
        <w:r w:rsidRPr="00BE11F9">
          <w:rPr>
            <w:rStyle w:val="Hyperlnk"/>
            <w:sz w:val="24"/>
            <w:szCs w:val="24"/>
            <w:lang w:val="en-GB"/>
          </w:rPr>
          <w:t>http://cf.cdn.unwto.org/sites/all/files/docpdf/mstpilotstudyitaly.pdf</w:t>
        </w:r>
      </w:hyperlink>
      <w:r>
        <w:rPr>
          <w:sz w:val="24"/>
          <w:szCs w:val="24"/>
          <w:lang w:val="en-GB"/>
        </w:rPr>
        <w:t xml:space="preserve"> </w:t>
      </w:r>
    </w:p>
    <w:p w:rsidR="00E468C5" w:rsidRDefault="00E468C5" w:rsidP="00817ECF">
      <w:pPr>
        <w:jc w:val="both"/>
        <w:rPr>
          <w:sz w:val="24"/>
          <w:szCs w:val="24"/>
          <w:lang w:val="en-GB"/>
        </w:rPr>
      </w:pPr>
    </w:p>
    <w:p w:rsidR="00E468C5" w:rsidRPr="00E468C5" w:rsidRDefault="00E468C5" w:rsidP="00E468C5">
      <w:pPr>
        <w:jc w:val="both"/>
        <w:rPr>
          <w:sz w:val="24"/>
          <w:szCs w:val="24"/>
          <w:lang w:val="en-US"/>
        </w:rPr>
      </w:pPr>
      <w:r w:rsidRPr="00E468C5">
        <w:rPr>
          <w:sz w:val="24"/>
          <w:szCs w:val="24"/>
          <w:lang w:val="en-US"/>
        </w:rPr>
        <w:t xml:space="preserve">Tudini A., Ardi C., Recchini E. (2018), </w:t>
      </w:r>
      <w:r w:rsidRPr="00E468C5">
        <w:rPr>
          <w:i/>
          <w:sz w:val="24"/>
          <w:szCs w:val="24"/>
          <w:lang w:val="en-US"/>
        </w:rPr>
        <w:t>Italy’s MST Pilot Study</w:t>
      </w:r>
      <w:r w:rsidRPr="00E468C5">
        <w:rPr>
          <w:sz w:val="24"/>
          <w:szCs w:val="24"/>
          <w:lang w:val="en-US"/>
        </w:rPr>
        <w:t xml:space="preserve">, </w:t>
      </w:r>
      <w:r>
        <w:rPr>
          <w:sz w:val="24"/>
          <w:szCs w:val="24"/>
          <w:lang w:val="en-US"/>
        </w:rPr>
        <w:t xml:space="preserve">presentation prepared for the </w:t>
      </w:r>
      <w:r w:rsidR="00A537A4" w:rsidRPr="00A537A4">
        <w:rPr>
          <w:sz w:val="24"/>
          <w:szCs w:val="24"/>
          <w:lang w:val="en-US"/>
        </w:rPr>
        <w:t xml:space="preserve">18th </w:t>
      </w:r>
      <w:r w:rsidR="00A537A4" w:rsidRPr="00E468C5">
        <w:rPr>
          <w:sz w:val="24"/>
          <w:szCs w:val="24"/>
          <w:lang w:val="en-US"/>
        </w:rPr>
        <w:t xml:space="preserve">Committee </w:t>
      </w:r>
      <w:r w:rsidR="00A537A4">
        <w:rPr>
          <w:sz w:val="24"/>
          <w:szCs w:val="24"/>
          <w:lang w:val="en-US"/>
        </w:rPr>
        <w:t>o</w:t>
      </w:r>
      <w:r w:rsidR="00A537A4" w:rsidRPr="00E468C5">
        <w:rPr>
          <w:sz w:val="24"/>
          <w:szCs w:val="24"/>
          <w:lang w:val="en-US"/>
        </w:rPr>
        <w:t xml:space="preserve">n Statistics </w:t>
      </w:r>
      <w:r w:rsidR="00A537A4">
        <w:rPr>
          <w:sz w:val="24"/>
          <w:szCs w:val="24"/>
          <w:lang w:val="en-US"/>
        </w:rPr>
        <w:t>a</w:t>
      </w:r>
      <w:r w:rsidR="00A537A4" w:rsidRPr="00E468C5">
        <w:rPr>
          <w:sz w:val="24"/>
          <w:szCs w:val="24"/>
          <w:lang w:val="en-US"/>
        </w:rPr>
        <w:t xml:space="preserve">nd </w:t>
      </w:r>
      <w:r w:rsidR="00A537A4">
        <w:rPr>
          <w:sz w:val="24"/>
          <w:szCs w:val="24"/>
          <w:lang w:val="en-US"/>
        </w:rPr>
        <w:t>t</w:t>
      </w:r>
      <w:r w:rsidR="00A537A4" w:rsidRPr="00E468C5">
        <w:rPr>
          <w:sz w:val="24"/>
          <w:szCs w:val="24"/>
          <w:lang w:val="en-US"/>
        </w:rPr>
        <w:t>he Tourism Satellite Account</w:t>
      </w:r>
      <w:r w:rsidR="00A537A4">
        <w:rPr>
          <w:sz w:val="24"/>
          <w:szCs w:val="24"/>
          <w:lang w:val="en-US"/>
        </w:rPr>
        <w:t xml:space="preserve">, </w:t>
      </w:r>
      <w:r w:rsidR="00A537A4" w:rsidRPr="00A537A4">
        <w:rPr>
          <w:sz w:val="24"/>
          <w:szCs w:val="24"/>
          <w:lang w:val="en-US"/>
        </w:rPr>
        <w:t>UNWTO, Madrid 27-28 February 2018</w:t>
      </w:r>
      <w:r w:rsidR="00A537A4">
        <w:rPr>
          <w:sz w:val="24"/>
          <w:szCs w:val="24"/>
          <w:lang w:val="en-US"/>
        </w:rPr>
        <w:t xml:space="preserve">; </w:t>
      </w:r>
      <w:hyperlink r:id="rId24" w:history="1">
        <w:r w:rsidR="00A537A4" w:rsidRPr="00B40EF8">
          <w:rPr>
            <w:rStyle w:val="Hyperlnk"/>
            <w:sz w:val="24"/>
            <w:szCs w:val="24"/>
            <w:lang w:val="en-US"/>
          </w:rPr>
          <w:t>http://cf.cdn.unwto.org/sites/all/files/pdf/18thmeeting_item_4.3.1.pdf</w:t>
        </w:r>
      </w:hyperlink>
      <w:r w:rsidR="00A537A4">
        <w:rPr>
          <w:sz w:val="24"/>
          <w:szCs w:val="24"/>
          <w:lang w:val="en-US"/>
        </w:rPr>
        <w:t xml:space="preserve"> </w:t>
      </w:r>
    </w:p>
    <w:p w:rsidR="00817ECF" w:rsidRPr="00E468C5" w:rsidRDefault="00817ECF" w:rsidP="00CD65C0">
      <w:pPr>
        <w:jc w:val="both"/>
        <w:rPr>
          <w:sz w:val="24"/>
          <w:szCs w:val="24"/>
          <w:lang w:val="en-US"/>
        </w:rPr>
      </w:pPr>
    </w:p>
    <w:p w:rsidR="007A1F19" w:rsidRDefault="007A1F19" w:rsidP="00CD65C0">
      <w:pPr>
        <w:jc w:val="both"/>
        <w:rPr>
          <w:sz w:val="24"/>
          <w:szCs w:val="24"/>
          <w:lang w:val="en-GB"/>
        </w:rPr>
      </w:pPr>
      <w:r w:rsidRPr="007A1F19">
        <w:rPr>
          <w:sz w:val="24"/>
          <w:szCs w:val="24"/>
          <w:lang w:val="en-GB"/>
        </w:rPr>
        <w:t>UNWTO et al (2010)</w:t>
      </w:r>
      <w:r>
        <w:rPr>
          <w:sz w:val="24"/>
          <w:szCs w:val="24"/>
          <w:lang w:val="en-GB"/>
        </w:rPr>
        <w:t>,</w:t>
      </w:r>
      <w:r w:rsidRPr="007A1F19">
        <w:rPr>
          <w:sz w:val="24"/>
          <w:szCs w:val="24"/>
          <w:lang w:val="en-GB"/>
        </w:rPr>
        <w:t xml:space="preserve"> </w:t>
      </w:r>
      <w:r w:rsidRPr="007A1F19">
        <w:rPr>
          <w:i/>
          <w:sz w:val="24"/>
          <w:szCs w:val="24"/>
          <w:lang w:val="en-GB"/>
        </w:rPr>
        <w:t>Tourism Satellite Account: Recommended Methodological Framework 2008</w:t>
      </w:r>
      <w:r w:rsidRPr="007A1F19">
        <w:rPr>
          <w:sz w:val="24"/>
          <w:szCs w:val="24"/>
          <w:lang w:val="en-GB"/>
        </w:rPr>
        <w:t xml:space="preserve"> </w:t>
      </w:r>
      <w:hyperlink r:id="rId25" w:history="1">
        <w:r w:rsidRPr="00B40EF8">
          <w:rPr>
            <w:rStyle w:val="Hyperlnk"/>
            <w:sz w:val="24"/>
            <w:szCs w:val="24"/>
            <w:lang w:val="en-GB"/>
          </w:rPr>
          <w:t>https://unstats.un.org/unsd/publication/Seriesf/SeriesF_80rev1e.pdf</w:t>
        </w:r>
      </w:hyperlink>
      <w:r>
        <w:rPr>
          <w:sz w:val="24"/>
          <w:szCs w:val="24"/>
          <w:lang w:val="en-GB"/>
        </w:rPr>
        <w:t xml:space="preserve"> </w:t>
      </w:r>
    </w:p>
    <w:p w:rsidR="007A1F19" w:rsidRDefault="007A1F19" w:rsidP="00CD65C0">
      <w:pPr>
        <w:jc w:val="both"/>
        <w:rPr>
          <w:sz w:val="24"/>
          <w:szCs w:val="24"/>
          <w:lang w:val="en-GB"/>
        </w:rPr>
      </w:pPr>
    </w:p>
    <w:p w:rsidR="00873F9B" w:rsidRPr="00CD65C0" w:rsidRDefault="00873F9B" w:rsidP="00CD65C0">
      <w:pPr>
        <w:jc w:val="both"/>
        <w:rPr>
          <w:sz w:val="24"/>
          <w:szCs w:val="24"/>
          <w:lang w:val="en-GB"/>
        </w:rPr>
      </w:pPr>
      <w:r w:rsidRPr="00CD65C0">
        <w:rPr>
          <w:sz w:val="24"/>
          <w:szCs w:val="24"/>
          <w:lang w:val="en-GB"/>
        </w:rPr>
        <w:t xml:space="preserve">UNWTO, </w:t>
      </w:r>
      <w:r w:rsidR="008D0B73">
        <w:rPr>
          <w:sz w:val="24"/>
          <w:szCs w:val="24"/>
          <w:lang w:val="en-GB"/>
        </w:rPr>
        <w:t>(</w:t>
      </w:r>
      <w:r w:rsidRPr="00CD65C0">
        <w:rPr>
          <w:sz w:val="24"/>
          <w:szCs w:val="24"/>
          <w:lang w:val="en-GB"/>
        </w:rPr>
        <w:t>2016</w:t>
      </w:r>
      <w:r w:rsidR="008D0B73">
        <w:rPr>
          <w:sz w:val="24"/>
          <w:szCs w:val="24"/>
          <w:lang w:val="en-GB"/>
        </w:rPr>
        <w:t>)</w:t>
      </w:r>
      <w:r w:rsidRPr="00CD65C0">
        <w:rPr>
          <w:sz w:val="24"/>
          <w:szCs w:val="24"/>
          <w:lang w:val="en-GB"/>
        </w:rPr>
        <w:t xml:space="preserve">, </w:t>
      </w:r>
      <w:r w:rsidRPr="00CD65C0">
        <w:rPr>
          <w:i/>
          <w:sz w:val="24"/>
          <w:szCs w:val="24"/>
          <w:lang w:val="en-GB"/>
        </w:rPr>
        <w:t>Measuring Sustainable Tourism Project concept note</w:t>
      </w:r>
      <w:r w:rsidRPr="00CD65C0">
        <w:rPr>
          <w:sz w:val="24"/>
          <w:szCs w:val="24"/>
          <w:lang w:val="en-GB"/>
        </w:rPr>
        <w:t xml:space="preserve">, </w:t>
      </w:r>
      <w:hyperlink r:id="rId26" w:history="1">
        <w:r w:rsidRPr="00CD65C0">
          <w:rPr>
            <w:rStyle w:val="Hyperlnk"/>
            <w:sz w:val="24"/>
            <w:szCs w:val="24"/>
            <w:lang w:val="en-GB"/>
          </w:rPr>
          <w:t>http://cf.cdn.unwto.org/sites/all/files/docpdf/mstconceptnote17032016.pdf</w:t>
        </w:r>
      </w:hyperlink>
      <w:r w:rsidRPr="00CD65C0">
        <w:rPr>
          <w:sz w:val="24"/>
          <w:szCs w:val="24"/>
          <w:lang w:val="en-GB"/>
        </w:rPr>
        <w:t xml:space="preserve"> </w:t>
      </w:r>
    </w:p>
    <w:p w:rsidR="00873F9B" w:rsidRPr="00CD65C0" w:rsidRDefault="00873F9B" w:rsidP="00CD65C0">
      <w:pPr>
        <w:jc w:val="both"/>
        <w:rPr>
          <w:sz w:val="24"/>
          <w:szCs w:val="24"/>
          <w:lang w:val="en-GB"/>
        </w:rPr>
      </w:pPr>
    </w:p>
    <w:p w:rsidR="00BC31D1" w:rsidRDefault="00873F9B" w:rsidP="00CD65C0">
      <w:pPr>
        <w:jc w:val="both"/>
        <w:rPr>
          <w:sz w:val="24"/>
          <w:szCs w:val="24"/>
        </w:rPr>
      </w:pPr>
      <w:r w:rsidRPr="00CD65C0">
        <w:rPr>
          <w:sz w:val="24"/>
          <w:szCs w:val="24"/>
          <w:lang w:val="en-GB"/>
        </w:rPr>
        <w:t xml:space="preserve">UNWTO, </w:t>
      </w:r>
      <w:r w:rsidR="008D0B73">
        <w:rPr>
          <w:sz w:val="24"/>
          <w:szCs w:val="24"/>
          <w:lang w:val="en-GB"/>
        </w:rPr>
        <w:t>(</w:t>
      </w:r>
      <w:r w:rsidRPr="00CD65C0">
        <w:rPr>
          <w:sz w:val="24"/>
          <w:szCs w:val="24"/>
          <w:lang w:val="en-GB"/>
        </w:rPr>
        <w:t>201</w:t>
      </w:r>
      <w:r w:rsidR="008D0B73">
        <w:rPr>
          <w:sz w:val="24"/>
          <w:szCs w:val="24"/>
          <w:lang w:val="en-GB"/>
        </w:rPr>
        <w:t>7)</w:t>
      </w:r>
      <w:r w:rsidRPr="00CD65C0">
        <w:rPr>
          <w:sz w:val="24"/>
          <w:szCs w:val="24"/>
          <w:lang w:val="en-GB"/>
        </w:rPr>
        <w:t>,</w:t>
      </w:r>
      <w:r w:rsidRPr="00CD65C0">
        <w:rPr>
          <w:i/>
          <w:sz w:val="24"/>
          <w:szCs w:val="24"/>
          <w:lang w:val="en-GB"/>
        </w:rPr>
        <w:t xml:space="preserve"> Statistical Framework for Measuring Sustainable Tourism, </w:t>
      </w:r>
      <w:r w:rsidR="008D0B73" w:rsidRPr="008D0B73">
        <w:rPr>
          <w:sz w:val="24"/>
          <w:szCs w:val="24"/>
          <w:lang w:val="en-GB"/>
        </w:rPr>
        <w:t xml:space="preserve">Preliminary </w:t>
      </w:r>
      <w:r w:rsidRPr="008D0B73">
        <w:rPr>
          <w:sz w:val="24"/>
          <w:szCs w:val="24"/>
          <w:lang w:val="en-GB"/>
        </w:rPr>
        <w:t>Draft</w:t>
      </w:r>
      <w:r w:rsidR="008D0B73">
        <w:rPr>
          <w:sz w:val="24"/>
          <w:szCs w:val="24"/>
          <w:lang w:val="en-GB"/>
        </w:rPr>
        <w:t xml:space="preserve"> prepared for the</w:t>
      </w:r>
      <w:r w:rsidRPr="00CD65C0">
        <w:rPr>
          <w:sz w:val="24"/>
          <w:szCs w:val="24"/>
          <w:lang w:val="en-GB"/>
        </w:rPr>
        <w:t xml:space="preserve"> </w:t>
      </w:r>
      <w:r w:rsidR="008D0B73" w:rsidRPr="00CD65C0">
        <w:rPr>
          <w:sz w:val="24"/>
          <w:szCs w:val="24"/>
        </w:rPr>
        <w:t xml:space="preserve">Sixth International Conference on Tourism Statistics </w:t>
      </w:r>
      <w:r w:rsidR="00D206FE" w:rsidRPr="00CD65C0">
        <w:rPr>
          <w:sz w:val="24"/>
          <w:szCs w:val="24"/>
        </w:rPr>
        <w:t>Measuring Sustainable Tourism</w:t>
      </w:r>
      <w:r w:rsidR="008D0B73" w:rsidRPr="00CD65C0">
        <w:rPr>
          <w:sz w:val="24"/>
          <w:szCs w:val="24"/>
        </w:rPr>
        <w:t>, Manila, Philippines, 21 – 24 June 2017</w:t>
      </w:r>
      <w:r w:rsidR="00E73A4E">
        <w:rPr>
          <w:sz w:val="24"/>
          <w:szCs w:val="24"/>
        </w:rPr>
        <w:t>.</w:t>
      </w:r>
    </w:p>
    <w:p w:rsidR="008D0B73" w:rsidRDefault="008D0B73" w:rsidP="00CD65C0">
      <w:pPr>
        <w:jc w:val="both"/>
        <w:rPr>
          <w:sz w:val="24"/>
          <w:szCs w:val="24"/>
        </w:rPr>
      </w:pPr>
    </w:p>
    <w:p w:rsidR="008D0B73" w:rsidRDefault="008D0B73" w:rsidP="00CD65C0">
      <w:pPr>
        <w:jc w:val="both"/>
        <w:rPr>
          <w:i/>
          <w:sz w:val="24"/>
          <w:szCs w:val="24"/>
        </w:rPr>
      </w:pPr>
      <w:r w:rsidRPr="00CD65C0">
        <w:rPr>
          <w:sz w:val="24"/>
          <w:szCs w:val="24"/>
          <w:lang w:val="en-GB"/>
        </w:rPr>
        <w:t xml:space="preserve">UNWTO, </w:t>
      </w:r>
      <w:r>
        <w:rPr>
          <w:sz w:val="24"/>
          <w:szCs w:val="24"/>
          <w:lang w:val="en-GB"/>
        </w:rPr>
        <w:t>(</w:t>
      </w:r>
      <w:r w:rsidRPr="00CD65C0">
        <w:rPr>
          <w:sz w:val="24"/>
          <w:szCs w:val="24"/>
          <w:lang w:val="en-GB"/>
        </w:rPr>
        <w:t>201</w:t>
      </w:r>
      <w:r>
        <w:rPr>
          <w:sz w:val="24"/>
          <w:szCs w:val="24"/>
          <w:lang w:val="en-GB"/>
        </w:rPr>
        <w:t>8</w:t>
      </w:r>
      <w:r w:rsidR="00E07082">
        <w:rPr>
          <w:sz w:val="24"/>
          <w:szCs w:val="24"/>
          <w:lang w:val="en-GB"/>
        </w:rPr>
        <w:t>a</w:t>
      </w:r>
      <w:r>
        <w:rPr>
          <w:sz w:val="24"/>
          <w:szCs w:val="24"/>
          <w:lang w:val="en-GB"/>
        </w:rPr>
        <w:t>)</w:t>
      </w:r>
      <w:r w:rsidRPr="00CD65C0">
        <w:rPr>
          <w:sz w:val="24"/>
          <w:szCs w:val="24"/>
        </w:rPr>
        <w:t xml:space="preserve">, </w:t>
      </w:r>
      <w:r w:rsidRPr="00CD65C0">
        <w:rPr>
          <w:i/>
          <w:sz w:val="24"/>
          <w:szCs w:val="24"/>
        </w:rPr>
        <w:t>Linking the TSA and the SEEA: A Technical Note</w:t>
      </w:r>
      <w:r>
        <w:rPr>
          <w:i/>
          <w:sz w:val="24"/>
          <w:szCs w:val="24"/>
        </w:rPr>
        <w:t xml:space="preserve">; </w:t>
      </w:r>
      <w:hyperlink r:id="rId27" w:history="1">
        <w:r w:rsidRPr="00BE11F9">
          <w:rPr>
            <w:rStyle w:val="Hyperlnk"/>
            <w:i/>
            <w:sz w:val="24"/>
            <w:szCs w:val="24"/>
          </w:rPr>
          <w:t>http://cf.cdn.unwto.org/sites/all/files/docpdf/tsaseeatechnote.pdf</w:t>
        </w:r>
      </w:hyperlink>
      <w:r>
        <w:rPr>
          <w:i/>
          <w:sz w:val="24"/>
          <w:szCs w:val="24"/>
        </w:rPr>
        <w:t xml:space="preserve"> </w:t>
      </w:r>
    </w:p>
    <w:p w:rsidR="00E07082" w:rsidRDefault="00E07082" w:rsidP="00CD65C0">
      <w:pPr>
        <w:jc w:val="both"/>
        <w:rPr>
          <w:i/>
          <w:sz w:val="24"/>
          <w:szCs w:val="24"/>
        </w:rPr>
      </w:pPr>
    </w:p>
    <w:p w:rsidR="00E07082" w:rsidRDefault="00E07082" w:rsidP="00E07082">
      <w:pPr>
        <w:jc w:val="both"/>
        <w:rPr>
          <w:sz w:val="24"/>
          <w:szCs w:val="24"/>
        </w:rPr>
      </w:pPr>
      <w:r w:rsidRPr="00CD65C0">
        <w:rPr>
          <w:sz w:val="24"/>
          <w:szCs w:val="24"/>
          <w:lang w:val="en-GB"/>
        </w:rPr>
        <w:t xml:space="preserve">UNWTO, </w:t>
      </w:r>
      <w:r>
        <w:rPr>
          <w:sz w:val="24"/>
          <w:szCs w:val="24"/>
          <w:lang w:val="en-GB"/>
        </w:rPr>
        <w:t>(</w:t>
      </w:r>
      <w:r w:rsidRPr="00CD65C0">
        <w:rPr>
          <w:sz w:val="24"/>
          <w:szCs w:val="24"/>
          <w:lang w:val="en-GB"/>
        </w:rPr>
        <w:t>201</w:t>
      </w:r>
      <w:r>
        <w:rPr>
          <w:sz w:val="24"/>
          <w:szCs w:val="24"/>
          <w:lang w:val="en-GB"/>
        </w:rPr>
        <w:t>8b)</w:t>
      </w:r>
      <w:r w:rsidRPr="00CD65C0">
        <w:rPr>
          <w:sz w:val="24"/>
          <w:szCs w:val="24"/>
        </w:rPr>
        <w:t xml:space="preserve">, </w:t>
      </w:r>
      <w:r w:rsidRPr="00E07082">
        <w:rPr>
          <w:i/>
          <w:sz w:val="24"/>
          <w:szCs w:val="24"/>
        </w:rPr>
        <w:t>Statistical Framework for Measuring Sustainable Tourism</w:t>
      </w:r>
      <w:r>
        <w:rPr>
          <w:i/>
          <w:sz w:val="24"/>
          <w:szCs w:val="24"/>
        </w:rPr>
        <w:t>;</w:t>
      </w:r>
      <w:r w:rsidRPr="00E07082">
        <w:t xml:space="preserve"> </w:t>
      </w:r>
      <w:r w:rsidRPr="00E07082">
        <w:rPr>
          <w:sz w:val="24"/>
          <w:szCs w:val="24"/>
        </w:rPr>
        <w:t>Consultation Draft</w:t>
      </w:r>
      <w:r>
        <w:rPr>
          <w:sz w:val="24"/>
          <w:szCs w:val="24"/>
        </w:rPr>
        <w:t xml:space="preserve"> </w:t>
      </w:r>
      <w:hyperlink r:id="rId28" w:history="1">
        <w:r w:rsidRPr="00AC6059">
          <w:rPr>
            <w:rStyle w:val="Hyperlnk"/>
            <w:sz w:val="24"/>
            <w:szCs w:val="24"/>
          </w:rPr>
          <w:t>http://cf.cdn.unwto.org/sites/all/files/pdf/sf-mst_feb.pdf</w:t>
        </w:r>
      </w:hyperlink>
      <w:r>
        <w:rPr>
          <w:sz w:val="24"/>
          <w:szCs w:val="24"/>
        </w:rPr>
        <w:t xml:space="preserve"> </w:t>
      </w:r>
    </w:p>
    <w:p w:rsidR="00C07FDE" w:rsidRDefault="00C07FDE" w:rsidP="00E07082">
      <w:pPr>
        <w:jc w:val="both"/>
        <w:rPr>
          <w:sz w:val="24"/>
          <w:szCs w:val="24"/>
          <w:lang w:val="en-GB"/>
        </w:rPr>
      </w:pPr>
    </w:p>
    <w:p w:rsidR="00FD2441" w:rsidRPr="00E07082" w:rsidRDefault="00FD2441" w:rsidP="00E07082">
      <w:pPr>
        <w:jc w:val="both"/>
        <w:rPr>
          <w:sz w:val="24"/>
          <w:szCs w:val="24"/>
          <w:lang w:val="en-GB"/>
        </w:rPr>
      </w:pPr>
    </w:p>
    <w:p w:rsidR="0092741F" w:rsidRDefault="00962CDD" w:rsidP="00FD2441">
      <w:pPr>
        <w:pStyle w:val="Rubrik2"/>
        <w:spacing w:line="276" w:lineRule="auto"/>
        <w:jc w:val="center"/>
        <w:rPr>
          <w:sz w:val="28"/>
          <w:szCs w:val="28"/>
          <w:lang w:val="en-US"/>
        </w:rPr>
      </w:pPr>
      <w:bookmarkStart w:id="26" w:name="_Toc524965951"/>
      <w:r w:rsidRPr="00BC31D1">
        <w:rPr>
          <w:rFonts w:asciiTheme="minorHAnsi" w:hAnsiTheme="minorHAnsi" w:cstheme="minorHAnsi"/>
          <w:sz w:val="32"/>
          <w:szCs w:val="32"/>
          <w:lang w:val="en-GB"/>
        </w:rPr>
        <w:t>ANNEX</w:t>
      </w:r>
      <w:r w:rsidR="00FD2441">
        <w:rPr>
          <w:rFonts w:asciiTheme="minorHAnsi" w:hAnsiTheme="minorHAnsi" w:cstheme="minorHAnsi"/>
          <w:sz w:val="32"/>
          <w:szCs w:val="32"/>
          <w:lang w:val="en-GB"/>
        </w:rPr>
        <w:t xml:space="preserve"> - </w:t>
      </w:r>
      <w:r w:rsidR="00FD2441" w:rsidRPr="00FD2441">
        <w:rPr>
          <w:sz w:val="28"/>
          <w:szCs w:val="28"/>
          <w:lang w:val="en-US"/>
        </w:rPr>
        <w:t>TSA-SEEA integrated framework - Italy (2015)</w:t>
      </w:r>
      <w:bookmarkEnd w:id="26"/>
    </w:p>
    <w:p w:rsidR="00FD2441" w:rsidRDefault="00FD2441" w:rsidP="00FD2441">
      <w:pPr>
        <w:rPr>
          <w:lang w:val="en-US" w:eastAsia="it-IT"/>
        </w:rPr>
      </w:pPr>
    </w:p>
    <w:p w:rsidR="00FD2441" w:rsidRDefault="00FD2441" w:rsidP="00FD2441">
      <w:pPr>
        <w:rPr>
          <w:lang w:val="en-US" w:eastAsia="it-IT"/>
        </w:rPr>
      </w:pPr>
    </w:p>
    <w:p w:rsidR="00FD2441" w:rsidRPr="00FD2441" w:rsidRDefault="00FD2441" w:rsidP="00FD2441">
      <w:pPr>
        <w:rPr>
          <w:lang w:val="en-US" w:eastAsia="it-IT"/>
        </w:rPr>
      </w:pPr>
    </w:p>
    <w:sectPr w:rsidR="00FD2441" w:rsidRPr="00FD2441" w:rsidSect="005261F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DE" w:rsidRDefault="00C07FDE" w:rsidP="00E96C54">
      <w:r>
        <w:separator/>
      </w:r>
    </w:p>
  </w:endnote>
  <w:endnote w:type="continuationSeparator" w:id="0">
    <w:p w:rsidR="00C07FDE" w:rsidRDefault="00C07FDE" w:rsidP="00E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7F" w:rsidRDefault="002C10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4872"/>
      <w:docPartObj>
        <w:docPartGallery w:val="Page Numbers (Bottom of Page)"/>
        <w:docPartUnique/>
      </w:docPartObj>
    </w:sdtPr>
    <w:sdtEndPr/>
    <w:sdtContent>
      <w:p w:rsidR="00C07FDE" w:rsidRDefault="00C07FDE">
        <w:pPr>
          <w:pStyle w:val="Sidfot"/>
          <w:jc w:val="right"/>
        </w:pPr>
        <w:r>
          <w:fldChar w:fldCharType="begin"/>
        </w:r>
        <w:r>
          <w:instrText>PAGE   \* MERGEFORMAT</w:instrText>
        </w:r>
        <w:r>
          <w:fldChar w:fldCharType="separate"/>
        </w:r>
        <w:r w:rsidR="002C107F" w:rsidRPr="002C107F">
          <w:rPr>
            <w:noProof/>
            <w:lang w:val="it-IT"/>
          </w:rPr>
          <w:t>1</w:t>
        </w:r>
        <w:r>
          <w:fldChar w:fldCharType="end"/>
        </w:r>
      </w:p>
    </w:sdtContent>
  </w:sdt>
  <w:p w:rsidR="00C07FDE" w:rsidRDefault="00C07FD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7F" w:rsidRDefault="002C10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DE" w:rsidRDefault="00C07FDE" w:rsidP="00E96C54">
      <w:r>
        <w:separator/>
      </w:r>
    </w:p>
  </w:footnote>
  <w:footnote w:type="continuationSeparator" w:id="0">
    <w:p w:rsidR="00C07FDE" w:rsidRDefault="00C07FDE" w:rsidP="00E96C54">
      <w:r>
        <w:continuationSeparator/>
      </w:r>
    </w:p>
  </w:footnote>
  <w:footnote w:id="1">
    <w:p w:rsidR="00C07FDE" w:rsidRPr="00E373B5" w:rsidRDefault="00C07FDE" w:rsidP="00C07FDE">
      <w:pPr>
        <w:pStyle w:val="Fotnotstext"/>
        <w:jc w:val="both"/>
        <w:rPr>
          <w:lang w:val="en-US"/>
        </w:rPr>
      </w:pPr>
      <w:r>
        <w:rPr>
          <w:rStyle w:val="Fotnotsreferens"/>
        </w:rPr>
        <w:footnoteRef/>
      </w:r>
      <w:r w:rsidRPr="00E373B5">
        <w:rPr>
          <w:lang w:val="en-US"/>
        </w:rPr>
        <w:t xml:space="preserve"> </w:t>
      </w:r>
      <w:r>
        <w:rPr>
          <w:lang w:val="en-US"/>
        </w:rPr>
        <w:t xml:space="preserve">For an updated draft of the comprehensive </w:t>
      </w:r>
      <w:r w:rsidRPr="00897A4F">
        <w:rPr>
          <w:lang w:val="en-US"/>
        </w:rPr>
        <w:t>Statistical  Framework  for  Measuring  Sustainable Tourism  (SF-</w:t>
      </w:r>
      <w:r>
        <w:rPr>
          <w:lang w:val="en-US"/>
        </w:rPr>
        <w:t xml:space="preserve">MST), encompassing all three dimensions of </w:t>
      </w:r>
      <w:r w:rsidRPr="00897A4F">
        <w:rPr>
          <w:lang w:val="en-US"/>
        </w:rPr>
        <w:t>sustainable tourism</w:t>
      </w:r>
      <w:r>
        <w:rPr>
          <w:lang w:val="en-US"/>
        </w:rPr>
        <w:t xml:space="preserve">, see UNWTO (2018b). A subsequent </w:t>
      </w:r>
      <w:r w:rsidRPr="00E373B5">
        <w:rPr>
          <w:lang w:val="en-US"/>
        </w:rPr>
        <w:t xml:space="preserve">version </w:t>
      </w:r>
      <w:r>
        <w:rPr>
          <w:lang w:val="en-US"/>
        </w:rPr>
        <w:t xml:space="preserve">has been planned </w:t>
      </w:r>
      <w:r w:rsidRPr="00E373B5">
        <w:rPr>
          <w:lang w:val="en-US"/>
        </w:rPr>
        <w:t>for a global consultation in 2018</w:t>
      </w:r>
      <w:r>
        <w:rPr>
          <w:lang w:val="en-US"/>
        </w:rPr>
        <w:t xml:space="preserve">, while a final </w:t>
      </w:r>
      <w:r w:rsidRPr="00E373B5">
        <w:rPr>
          <w:lang w:val="en-US"/>
        </w:rPr>
        <w:t xml:space="preserve">version </w:t>
      </w:r>
      <w:r>
        <w:rPr>
          <w:lang w:val="en-US"/>
        </w:rPr>
        <w:t>is supposed to</w:t>
      </w:r>
      <w:r w:rsidRPr="00E373B5">
        <w:rPr>
          <w:lang w:val="en-US"/>
        </w:rPr>
        <w:t xml:space="preserve"> be submitted to the United Nations Statistical Commission in March in 2020.</w:t>
      </w:r>
      <w:r>
        <w:rPr>
          <w:lang w:val="en-US"/>
        </w:rPr>
        <w:t xml:space="preserve"> </w:t>
      </w:r>
    </w:p>
  </w:footnote>
  <w:footnote w:id="2">
    <w:p w:rsidR="00C07FDE" w:rsidRPr="00453CB8" w:rsidRDefault="00C07FDE" w:rsidP="00C07FDE">
      <w:pPr>
        <w:pStyle w:val="Fotnotstext"/>
        <w:jc w:val="both"/>
        <w:rPr>
          <w:lang w:val="en-US"/>
        </w:rPr>
      </w:pPr>
      <w:r>
        <w:rPr>
          <w:rStyle w:val="Fotnotsreferens"/>
        </w:rPr>
        <w:footnoteRef/>
      </w:r>
      <w:r w:rsidRPr="00453CB8">
        <w:rPr>
          <w:lang w:val="en-US"/>
        </w:rPr>
        <w:t xml:space="preserve"> </w:t>
      </w:r>
      <w:r>
        <w:rPr>
          <w:lang w:val="en-US"/>
        </w:rPr>
        <w:t xml:space="preserve">See </w:t>
      </w:r>
      <w:r w:rsidRPr="00453CB8">
        <w:rPr>
          <w:lang w:val="en-US"/>
        </w:rPr>
        <w:t xml:space="preserve">the </w:t>
      </w:r>
      <w:r>
        <w:rPr>
          <w:lang w:val="en-US"/>
        </w:rPr>
        <w:t xml:space="preserve">UN manual </w:t>
      </w:r>
      <w:r w:rsidRPr="00453CB8">
        <w:rPr>
          <w:i/>
          <w:lang w:val="en-US"/>
        </w:rPr>
        <w:t>Tourism Satellite Account: Recommended Methodological Framework 2008</w:t>
      </w:r>
      <w:r w:rsidRPr="00453CB8">
        <w:rPr>
          <w:lang w:val="en-US"/>
        </w:rPr>
        <w:t xml:space="preserve"> (TSA: RMF 2008)</w:t>
      </w:r>
      <w:r>
        <w:rPr>
          <w:lang w:val="en-US"/>
        </w:rPr>
        <w:t>.</w:t>
      </w:r>
    </w:p>
  </w:footnote>
  <w:footnote w:id="3">
    <w:p w:rsidR="00C07FDE" w:rsidRPr="00453CB8" w:rsidRDefault="00C07FDE" w:rsidP="00C07FDE">
      <w:pPr>
        <w:pStyle w:val="Fotnotstext"/>
        <w:jc w:val="both"/>
        <w:rPr>
          <w:lang w:val="en-US"/>
        </w:rPr>
      </w:pPr>
      <w:r>
        <w:rPr>
          <w:rStyle w:val="Fotnotsreferens"/>
        </w:rPr>
        <w:footnoteRef/>
      </w:r>
      <w:r w:rsidRPr="00453CB8">
        <w:rPr>
          <w:lang w:val="en-US"/>
        </w:rPr>
        <w:t xml:space="preserve"> </w:t>
      </w:r>
      <w:r>
        <w:rPr>
          <w:lang w:val="en-US"/>
        </w:rPr>
        <w:t xml:space="preserve">Reference is made here to </w:t>
      </w:r>
      <w:r w:rsidRPr="00453CB8">
        <w:rPr>
          <w:lang w:val="en-US"/>
        </w:rPr>
        <w:t>the System of Environmental-Economic Accounting 2012 - Central Framework (SEEA-CF)</w:t>
      </w:r>
      <w:r>
        <w:rPr>
          <w:lang w:val="en-US"/>
        </w:rPr>
        <w:t xml:space="preserve"> </w:t>
      </w:r>
      <w:r w:rsidRPr="00453CB8">
        <w:rPr>
          <w:lang w:val="en-US"/>
        </w:rPr>
        <w:t>and the System of Environmental-Economic Accounting 2012 - Experimental Ecosystem Accounting (SEEA-EEA)</w:t>
      </w:r>
      <w:r>
        <w:rPr>
          <w:lang w:val="en-US"/>
        </w:rPr>
        <w:t>.</w:t>
      </w:r>
    </w:p>
  </w:footnote>
  <w:footnote w:id="4">
    <w:p w:rsidR="00C07FDE" w:rsidRPr="00816E67" w:rsidRDefault="00C07FDE" w:rsidP="00C07FDE">
      <w:pPr>
        <w:pStyle w:val="Fotnotstext"/>
        <w:jc w:val="both"/>
        <w:rPr>
          <w:lang w:val="en-US"/>
        </w:rPr>
      </w:pPr>
      <w:r>
        <w:rPr>
          <w:rStyle w:val="Fotnotsreferens"/>
        </w:rPr>
        <w:footnoteRef/>
      </w:r>
      <w:r w:rsidRPr="00816E67">
        <w:rPr>
          <w:lang w:val="en-US"/>
        </w:rPr>
        <w:t xml:space="preserve"> See </w:t>
      </w:r>
      <w:r>
        <w:rPr>
          <w:lang w:val="en-US"/>
        </w:rPr>
        <w:t>UNWTO</w:t>
      </w:r>
      <w:r w:rsidRPr="00816E67">
        <w:rPr>
          <w:lang w:val="en-US"/>
        </w:rPr>
        <w:t xml:space="preserve"> (201</w:t>
      </w:r>
      <w:r>
        <w:rPr>
          <w:lang w:val="en-US"/>
        </w:rPr>
        <w:t>8a</w:t>
      </w:r>
      <w:r w:rsidRPr="00816E67">
        <w:rPr>
          <w:lang w:val="en-US"/>
        </w:rPr>
        <w:t xml:space="preserve">), </w:t>
      </w:r>
      <w:r>
        <w:rPr>
          <w:lang w:val="en-US"/>
        </w:rPr>
        <w:t>§</w:t>
      </w:r>
      <w:r w:rsidRPr="00816E67">
        <w:rPr>
          <w:lang w:val="en-US"/>
        </w:rPr>
        <w:t xml:space="preserve"> 2.4.</w:t>
      </w:r>
    </w:p>
  </w:footnote>
  <w:footnote w:id="5">
    <w:p w:rsidR="00C07FDE" w:rsidRPr="00C80575" w:rsidRDefault="00C07FDE" w:rsidP="00C07FDE">
      <w:pPr>
        <w:pStyle w:val="Fotnotstext"/>
        <w:jc w:val="both"/>
        <w:rPr>
          <w:lang w:val="en-US"/>
        </w:rPr>
      </w:pPr>
      <w:r>
        <w:rPr>
          <w:rStyle w:val="Fotnotsreferens"/>
        </w:rPr>
        <w:footnoteRef/>
      </w:r>
      <w:r w:rsidRPr="00C80575">
        <w:rPr>
          <w:lang w:val="en-US"/>
        </w:rPr>
        <w:t xml:space="preserve"> </w:t>
      </w:r>
      <w:r>
        <w:rPr>
          <w:lang w:val="en-US"/>
        </w:rPr>
        <w:t xml:space="preserve">A list of pilot studies </w:t>
      </w:r>
      <w:r>
        <w:rPr>
          <w:lang w:val="en-GB"/>
        </w:rPr>
        <w:t xml:space="preserve">focusing </w:t>
      </w:r>
      <w:r w:rsidRPr="005234D4">
        <w:rPr>
          <w:lang w:val="en-GB"/>
        </w:rPr>
        <w:t xml:space="preserve">on </w:t>
      </w:r>
      <w:r>
        <w:rPr>
          <w:lang w:val="en-GB"/>
        </w:rPr>
        <w:t xml:space="preserve">selected </w:t>
      </w:r>
      <w:r w:rsidRPr="005234D4">
        <w:rPr>
          <w:lang w:val="en-GB"/>
        </w:rPr>
        <w:t>aspects of the overall MST framework</w:t>
      </w:r>
      <w:r>
        <w:rPr>
          <w:lang w:val="en-GB"/>
        </w:rPr>
        <w:t xml:space="preserve"> that are of relevance in the specific country </w:t>
      </w:r>
      <w:r w:rsidRPr="005234D4">
        <w:rPr>
          <w:lang w:val="en-GB"/>
        </w:rPr>
        <w:t>context</w:t>
      </w:r>
      <w:r w:rsidRPr="00C80575">
        <w:rPr>
          <w:lang w:val="en-US"/>
        </w:rPr>
        <w:t xml:space="preserve"> </w:t>
      </w:r>
      <w:r>
        <w:rPr>
          <w:lang w:val="en-US"/>
        </w:rPr>
        <w:t xml:space="preserve">is available at </w:t>
      </w:r>
      <w:hyperlink r:id="rId1" w:history="1">
        <w:r w:rsidRPr="002B0AFE">
          <w:rPr>
            <w:rStyle w:val="Hyperlnk"/>
            <w:lang w:val="en-US"/>
          </w:rPr>
          <w:t>http://statistics.unwto.org/studies_experience</w:t>
        </w:r>
      </w:hyperlink>
      <w:r>
        <w:rPr>
          <w:lang w:val="en-US"/>
        </w:rPr>
        <w:t>.</w:t>
      </w:r>
    </w:p>
  </w:footnote>
  <w:footnote w:id="6">
    <w:p w:rsidR="00C07FDE" w:rsidRPr="00816E67" w:rsidRDefault="00C07FDE" w:rsidP="00C07FDE">
      <w:pPr>
        <w:pStyle w:val="Fotnotstext"/>
        <w:jc w:val="both"/>
        <w:rPr>
          <w:lang w:val="en-US"/>
        </w:rPr>
      </w:pPr>
      <w:r>
        <w:rPr>
          <w:rStyle w:val="Fotnotsreferens"/>
        </w:rPr>
        <w:footnoteRef/>
      </w:r>
      <w:r w:rsidRPr="00816E67">
        <w:rPr>
          <w:lang w:val="en-US"/>
        </w:rPr>
        <w:t xml:space="preserve"> See </w:t>
      </w:r>
      <w:r>
        <w:rPr>
          <w:lang w:val="en-US"/>
        </w:rPr>
        <w:t>UNWTO</w:t>
      </w:r>
      <w:r w:rsidRPr="00816E67">
        <w:rPr>
          <w:lang w:val="en-US"/>
        </w:rPr>
        <w:t xml:space="preserve"> (201</w:t>
      </w:r>
      <w:r>
        <w:rPr>
          <w:lang w:val="en-US"/>
        </w:rPr>
        <w:t>8a</w:t>
      </w:r>
      <w:r w:rsidRPr="00816E67">
        <w:rPr>
          <w:lang w:val="en-US"/>
        </w:rPr>
        <w:t>), par. 3.1</w:t>
      </w:r>
      <w:r>
        <w:rPr>
          <w:lang w:val="en-US"/>
        </w:rPr>
        <w:t>-3.5</w:t>
      </w:r>
      <w:r w:rsidRPr="00816E67">
        <w:rPr>
          <w:lang w:val="en-US"/>
        </w:rPr>
        <w:t>.</w:t>
      </w:r>
    </w:p>
  </w:footnote>
  <w:footnote w:id="7">
    <w:p w:rsidR="00C07FDE" w:rsidRPr="00160707" w:rsidRDefault="00C07FDE" w:rsidP="00C07FDE">
      <w:pPr>
        <w:pStyle w:val="Fotnotstext"/>
        <w:jc w:val="both"/>
        <w:rPr>
          <w:lang w:val="en-US"/>
        </w:rPr>
      </w:pPr>
      <w:r>
        <w:rPr>
          <w:rStyle w:val="Fotnotsreferens"/>
        </w:rPr>
        <w:footnoteRef/>
      </w:r>
      <w:r w:rsidRPr="00160707">
        <w:rPr>
          <w:lang w:val="en-US"/>
        </w:rPr>
        <w:t xml:space="preserve"> </w:t>
      </w:r>
      <w:r>
        <w:rPr>
          <w:lang w:val="en-US"/>
        </w:rPr>
        <w:t>P</w:t>
      </w:r>
      <w:r w:rsidRPr="00160707">
        <w:rPr>
          <w:lang w:val="en-US"/>
        </w:rPr>
        <w:t xml:space="preserve">roduction perspective </w:t>
      </w:r>
      <w:r>
        <w:rPr>
          <w:lang w:val="en-US"/>
        </w:rPr>
        <w:t xml:space="preserve">and </w:t>
      </w:r>
      <w:r w:rsidRPr="00160707">
        <w:rPr>
          <w:lang w:val="en-US"/>
        </w:rPr>
        <w:t xml:space="preserve">supply perspective </w:t>
      </w:r>
      <w:r>
        <w:rPr>
          <w:lang w:val="en-US"/>
        </w:rPr>
        <w:t xml:space="preserve">are generally used as synonyms; the same applies to </w:t>
      </w:r>
      <w:r w:rsidRPr="00160707">
        <w:rPr>
          <w:lang w:val="en-US"/>
        </w:rPr>
        <w:t xml:space="preserve">demand </w:t>
      </w:r>
      <w:r>
        <w:rPr>
          <w:lang w:val="en-US"/>
        </w:rPr>
        <w:t xml:space="preserve">perspective and </w:t>
      </w:r>
      <w:r w:rsidRPr="00160707">
        <w:rPr>
          <w:lang w:val="en-US"/>
        </w:rPr>
        <w:t xml:space="preserve">consumption </w:t>
      </w:r>
      <w:r>
        <w:rPr>
          <w:lang w:val="en-US"/>
        </w:rPr>
        <w:t>perspective.</w:t>
      </w:r>
    </w:p>
  </w:footnote>
  <w:footnote w:id="8">
    <w:p w:rsidR="00C07FDE" w:rsidRPr="00B25ED3" w:rsidRDefault="00C07FDE" w:rsidP="00B25ED3">
      <w:pPr>
        <w:pStyle w:val="Fotnotstext"/>
        <w:rPr>
          <w:lang w:val="en-US"/>
        </w:rPr>
      </w:pPr>
      <w:r>
        <w:rPr>
          <w:rStyle w:val="Fotnotsreferens"/>
        </w:rPr>
        <w:footnoteRef/>
      </w:r>
      <w:r w:rsidRPr="00B25ED3">
        <w:rPr>
          <w:lang w:val="en-US"/>
        </w:rPr>
        <w:t xml:space="preserve"> </w:t>
      </w:r>
      <w:r>
        <w:rPr>
          <w:lang w:val="en-US"/>
        </w:rPr>
        <w:t xml:space="preserve">The TSA: RMF 2008 defines the tourism ratio as follows: </w:t>
      </w:r>
      <w:r>
        <w:rPr>
          <w:i/>
          <w:lang w:val="en-US"/>
        </w:rPr>
        <w:t>f</w:t>
      </w:r>
      <w:r w:rsidRPr="00B25ED3">
        <w:rPr>
          <w:i/>
          <w:lang w:val="en-US"/>
        </w:rPr>
        <w:t>or each variable of supply in the Tourism Satellite Account, the tourism ratio is the ratio between the total value of tourism share and total value of the corresponding variable in the Tourism Satellite Account expressed in percentage form</w:t>
      </w:r>
      <w:r>
        <w:rPr>
          <w:i/>
          <w:lang w:val="en-US"/>
        </w:rPr>
        <w:t xml:space="preserve"> </w:t>
      </w:r>
      <w:r w:rsidRPr="00B25ED3">
        <w:rPr>
          <w:lang w:val="en-US"/>
        </w:rPr>
        <w:t>(UNWTO et al, 2010, Glossary of terms</w:t>
      </w:r>
      <w:r>
        <w:rPr>
          <w:lang w:val="en-US"/>
        </w:rPr>
        <w:t>).</w:t>
      </w:r>
    </w:p>
  </w:footnote>
  <w:footnote w:id="9">
    <w:p w:rsidR="00C07FDE" w:rsidRPr="0023153A" w:rsidRDefault="00C07FDE" w:rsidP="0023153A">
      <w:pPr>
        <w:autoSpaceDE w:val="0"/>
        <w:autoSpaceDN w:val="0"/>
        <w:adjustRightInd w:val="0"/>
        <w:jc w:val="both"/>
        <w:rPr>
          <w:sz w:val="20"/>
          <w:szCs w:val="20"/>
          <w:lang w:val="en-US"/>
        </w:rPr>
      </w:pPr>
      <w:r w:rsidRPr="0023153A">
        <w:rPr>
          <w:rStyle w:val="Fotnotsreferens"/>
          <w:sz w:val="20"/>
          <w:szCs w:val="20"/>
          <w:lang w:val="it-IT"/>
        </w:rPr>
        <w:footnoteRef/>
      </w:r>
      <w:r>
        <w:t xml:space="preserve"> </w:t>
      </w:r>
      <w:r>
        <w:rPr>
          <w:sz w:val="20"/>
          <w:szCs w:val="20"/>
          <w:lang w:val="en-US"/>
        </w:rPr>
        <w:t>T</w:t>
      </w:r>
      <w:r w:rsidRPr="0023153A">
        <w:rPr>
          <w:sz w:val="20"/>
          <w:szCs w:val="20"/>
          <w:lang w:val="en-US"/>
        </w:rPr>
        <w:t xml:space="preserve">he activities of a resident visitor within the country of reference either as part of a domestic tourism trip </w:t>
      </w:r>
      <w:r>
        <w:rPr>
          <w:sz w:val="20"/>
          <w:szCs w:val="20"/>
          <w:lang w:val="en-US"/>
        </w:rPr>
        <w:t>(</w:t>
      </w:r>
      <w:r w:rsidRPr="0023153A">
        <w:rPr>
          <w:sz w:val="20"/>
          <w:szCs w:val="20"/>
          <w:lang w:val="en-US"/>
        </w:rPr>
        <w:t>one with a main destination within the country of</w:t>
      </w:r>
      <w:r>
        <w:rPr>
          <w:sz w:val="20"/>
          <w:szCs w:val="20"/>
          <w:lang w:val="en-US"/>
        </w:rPr>
        <w:t xml:space="preserve"> </w:t>
      </w:r>
      <w:r w:rsidRPr="0023153A">
        <w:rPr>
          <w:sz w:val="20"/>
          <w:szCs w:val="20"/>
          <w:lang w:val="en-US"/>
        </w:rPr>
        <w:t>residence of the visitor</w:t>
      </w:r>
      <w:r>
        <w:rPr>
          <w:sz w:val="20"/>
          <w:szCs w:val="20"/>
          <w:lang w:val="en-US"/>
        </w:rPr>
        <w:t xml:space="preserve">) </w:t>
      </w:r>
      <w:r w:rsidRPr="0023153A">
        <w:rPr>
          <w:sz w:val="20"/>
          <w:szCs w:val="20"/>
          <w:lang w:val="en-US"/>
        </w:rPr>
        <w:t>or part of an outbound tourism trip</w:t>
      </w:r>
      <w:r>
        <w:rPr>
          <w:sz w:val="20"/>
          <w:szCs w:val="20"/>
          <w:lang w:val="en-US"/>
        </w:rPr>
        <w:t xml:space="preserve"> (</w:t>
      </w:r>
      <w:r w:rsidRPr="0023153A">
        <w:rPr>
          <w:sz w:val="20"/>
          <w:szCs w:val="20"/>
          <w:lang w:val="en-US"/>
        </w:rPr>
        <w:t>one with a main destination</w:t>
      </w:r>
      <w:r>
        <w:rPr>
          <w:sz w:val="20"/>
          <w:szCs w:val="20"/>
          <w:lang w:val="en-US"/>
        </w:rPr>
        <w:t xml:space="preserve"> </w:t>
      </w:r>
      <w:r w:rsidRPr="0023153A">
        <w:rPr>
          <w:sz w:val="20"/>
          <w:szCs w:val="20"/>
          <w:lang w:val="en-US"/>
        </w:rPr>
        <w:t>outside the country of residence of the visitor</w:t>
      </w:r>
      <w:r>
        <w:rPr>
          <w:sz w:val="20"/>
          <w:szCs w:val="20"/>
          <w:lang w:val="en-US"/>
        </w:rPr>
        <w:t>).</w:t>
      </w:r>
    </w:p>
  </w:footnote>
  <w:footnote w:id="10">
    <w:p w:rsidR="00C07FDE" w:rsidRPr="0023153A" w:rsidRDefault="00C07FDE" w:rsidP="0023153A">
      <w:pPr>
        <w:autoSpaceDE w:val="0"/>
        <w:autoSpaceDN w:val="0"/>
        <w:adjustRightInd w:val="0"/>
        <w:jc w:val="both"/>
        <w:rPr>
          <w:sz w:val="20"/>
          <w:szCs w:val="20"/>
          <w:lang w:val="en-US"/>
        </w:rPr>
      </w:pPr>
      <w:r w:rsidRPr="0023153A">
        <w:rPr>
          <w:rStyle w:val="Fotnotsreferens"/>
          <w:sz w:val="20"/>
          <w:szCs w:val="20"/>
          <w:lang w:val="it-IT"/>
        </w:rPr>
        <w:footnoteRef/>
      </w:r>
      <w:r w:rsidRPr="0027244E">
        <w:rPr>
          <w:rStyle w:val="Fotnotsreferens"/>
          <w:sz w:val="20"/>
          <w:szCs w:val="20"/>
          <w:lang w:val="en-US"/>
        </w:rPr>
        <w:t xml:space="preserve"> </w:t>
      </w:r>
      <w:r>
        <w:rPr>
          <w:sz w:val="20"/>
          <w:szCs w:val="20"/>
          <w:lang w:val="en-US"/>
        </w:rPr>
        <w:t>T</w:t>
      </w:r>
      <w:r w:rsidRPr="0023153A">
        <w:rPr>
          <w:sz w:val="20"/>
          <w:szCs w:val="20"/>
          <w:lang w:val="en-US"/>
        </w:rPr>
        <w:t>he activities of a non</w:t>
      </w:r>
      <w:r>
        <w:rPr>
          <w:sz w:val="20"/>
          <w:szCs w:val="20"/>
          <w:lang w:val="en-US"/>
        </w:rPr>
        <w:t>-</w:t>
      </w:r>
      <w:r w:rsidRPr="0023153A">
        <w:rPr>
          <w:sz w:val="20"/>
          <w:szCs w:val="20"/>
          <w:lang w:val="en-US"/>
        </w:rPr>
        <w:t>resident visitor within the country of reference on an inbound tourism trip</w:t>
      </w:r>
      <w:r>
        <w:rPr>
          <w:sz w:val="20"/>
          <w:szCs w:val="20"/>
          <w:lang w:val="en-US"/>
        </w:rPr>
        <w:t xml:space="preserve"> (</w:t>
      </w:r>
      <w:r w:rsidRPr="0023153A">
        <w:rPr>
          <w:sz w:val="20"/>
          <w:szCs w:val="20"/>
          <w:lang w:val="en-US"/>
        </w:rPr>
        <w:t>one with a main destination within the country of reference</w:t>
      </w:r>
      <w:r>
        <w:rPr>
          <w:sz w:val="20"/>
          <w:szCs w:val="20"/>
          <w:lang w:val="en-US"/>
        </w:rPr>
        <w:t>)</w:t>
      </w:r>
      <w:r w:rsidRPr="0023153A">
        <w:rPr>
          <w:sz w:val="20"/>
          <w:szCs w:val="20"/>
          <w:lang w:val="en-US"/>
        </w:rPr>
        <w:t>.</w:t>
      </w:r>
    </w:p>
  </w:footnote>
  <w:footnote w:id="11">
    <w:p w:rsidR="00C07FDE" w:rsidRPr="0023153A" w:rsidRDefault="00C07FDE" w:rsidP="002C7066">
      <w:pPr>
        <w:autoSpaceDE w:val="0"/>
        <w:autoSpaceDN w:val="0"/>
        <w:adjustRightInd w:val="0"/>
        <w:jc w:val="both"/>
        <w:rPr>
          <w:sz w:val="20"/>
          <w:szCs w:val="20"/>
          <w:lang w:val="en-US"/>
        </w:rPr>
      </w:pPr>
      <w:r w:rsidRPr="0023153A">
        <w:rPr>
          <w:rStyle w:val="Fotnotsreferens"/>
          <w:lang w:val="it-IT"/>
        </w:rPr>
        <w:footnoteRef/>
      </w:r>
      <w:r w:rsidRPr="0023153A">
        <w:rPr>
          <w:sz w:val="20"/>
          <w:szCs w:val="20"/>
          <w:lang w:val="en-US"/>
        </w:rPr>
        <w:t xml:space="preserve"> </w:t>
      </w:r>
      <w:r w:rsidRPr="002C7066">
        <w:rPr>
          <w:sz w:val="20"/>
          <w:szCs w:val="20"/>
          <w:lang w:val="en-US"/>
        </w:rPr>
        <w:t>The Glossary of terms of the TSA: RMF 2008 explains that ‘Tourism consumption has the same formal definition as tourism expenditure. Nevertheless, the concept of tourism consumption used in the Tourism Satellite Account goes beyond that of tourism expenditure. Actually, besides the amount paid for the acquisition of consumption goods and services, as well as valuables for own use or to give away, for and during tourism trips, which corresponds to monetary transactions (the focus of tourism expenditure), it also includes services associated with vacation accommodation on own account, tourism social transfers in kind and other imputed consumption. These transactions need to be estimated using sources different from information collected directly from the visitors, such as reports on home exchanges, estimations of rents associated with vacation homes, calculations of financial intermediation services indirectly measured (FISIM), etc.’ (UNWTO et al, 2010 – Glossary of terms)</w:t>
      </w:r>
    </w:p>
  </w:footnote>
  <w:footnote w:id="12">
    <w:p w:rsidR="00C07FDE" w:rsidRPr="00900C85" w:rsidRDefault="00C07FDE" w:rsidP="0073657F">
      <w:pPr>
        <w:pStyle w:val="Fotnotstext"/>
        <w:jc w:val="both"/>
        <w:rPr>
          <w:lang w:val="en-US"/>
        </w:rPr>
      </w:pPr>
      <w:r>
        <w:rPr>
          <w:rStyle w:val="Fotnotsreferens"/>
        </w:rPr>
        <w:footnoteRef/>
      </w:r>
      <w:r w:rsidRPr="00900C85">
        <w:rPr>
          <w:lang w:val="en-US"/>
        </w:rPr>
        <w:t xml:space="preserve"> The latest release of the Italian TSA </w:t>
      </w:r>
      <w:r>
        <w:rPr>
          <w:lang w:val="en-US"/>
        </w:rPr>
        <w:t xml:space="preserve">covering all TSA tables </w:t>
      </w:r>
      <w:r w:rsidRPr="00900C85">
        <w:rPr>
          <w:lang w:val="en-US"/>
        </w:rPr>
        <w:t xml:space="preserve">is available at </w:t>
      </w:r>
      <w:hyperlink r:id="rId2" w:history="1">
        <w:r w:rsidRPr="00900C85">
          <w:rPr>
            <w:rStyle w:val="Hyperlnk"/>
            <w:lang w:val="en-US"/>
          </w:rPr>
          <w:t>https://www.istat.it/it/archivio/207454</w:t>
        </w:r>
      </w:hyperlink>
      <w:r w:rsidRPr="00900C85">
        <w:rPr>
          <w:lang w:val="en-US"/>
        </w:rPr>
        <w:t xml:space="preserve"> </w:t>
      </w:r>
      <w:r>
        <w:rPr>
          <w:lang w:val="en-US"/>
        </w:rPr>
        <w:t>(Italian version)</w:t>
      </w:r>
      <w:r w:rsidRPr="00900C85">
        <w:rPr>
          <w:lang w:val="en-US"/>
        </w:rPr>
        <w:t xml:space="preserve">; </w:t>
      </w:r>
      <w:r>
        <w:rPr>
          <w:lang w:val="en-US"/>
        </w:rPr>
        <w:t>a partial E</w:t>
      </w:r>
      <w:r w:rsidRPr="00900C85">
        <w:rPr>
          <w:lang w:val="en-US"/>
        </w:rPr>
        <w:t>nglish version</w:t>
      </w:r>
      <w:r>
        <w:rPr>
          <w:lang w:val="en-US"/>
        </w:rPr>
        <w:t xml:space="preserve"> is also available</w:t>
      </w:r>
      <w:r w:rsidRPr="00900C85">
        <w:rPr>
          <w:lang w:val="en-US"/>
        </w:rPr>
        <w:t xml:space="preserve">: </w:t>
      </w:r>
      <w:hyperlink r:id="rId3" w:history="1">
        <w:r w:rsidRPr="00900C85">
          <w:rPr>
            <w:rStyle w:val="Hyperlnk"/>
            <w:lang w:val="en-US"/>
          </w:rPr>
          <w:t>http://www.istat.it/en/archive/208130</w:t>
        </w:r>
      </w:hyperlink>
      <w:r w:rsidRPr="00900C85">
        <w:rPr>
          <w:lang w:val="en-US"/>
        </w:rPr>
        <w:t xml:space="preserve"> </w:t>
      </w:r>
    </w:p>
  </w:footnote>
  <w:footnote w:id="13">
    <w:p w:rsidR="00C07FDE" w:rsidRPr="00816E67" w:rsidRDefault="00C07FDE" w:rsidP="00817ECF">
      <w:pPr>
        <w:pStyle w:val="Fotnotstext"/>
        <w:rPr>
          <w:lang w:val="en-US"/>
        </w:rPr>
      </w:pPr>
      <w:r>
        <w:rPr>
          <w:rStyle w:val="Fotnotsreferens"/>
        </w:rPr>
        <w:footnoteRef/>
      </w:r>
      <w:r w:rsidRPr="00816E67">
        <w:rPr>
          <w:lang w:val="en-US"/>
        </w:rPr>
        <w:t xml:space="preserve"> </w:t>
      </w:r>
      <w:r w:rsidRPr="00636C84">
        <w:rPr>
          <w:shd w:val="clear" w:color="auto" w:fill="FFFFFF" w:themeFill="background1"/>
          <w:lang w:val="en-US"/>
        </w:rPr>
        <w:t>See Tudini (2016)</w:t>
      </w:r>
      <w:r>
        <w:rPr>
          <w:shd w:val="clear" w:color="auto" w:fill="FFFFFF" w:themeFill="background1"/>
          <w:lang w:val="en-US"/>
        </w:rPr>
        <w:t>.</w:t>
      </w:r>
    </w:p>
  </w:footnote>
  <w:footnote w:id="14">
    <w:p w:rsidR="00C07FDE" w:rsidRPr="0046138A" w:rsidRDefault="00C07FDE" w:rsidP="00283DEB">
      <w:pPr>
        <w:pStyle w:val="Fotnotstext"/>
        <w:jc w:val="both"/>
        <w:rPr>
          <w:lang w:val="en-US"/>
        </w:rPr>
      </w:pPr>
      <w:r>
        <w:rPr>
          <w:rStyle w:val="Fotnotsreferens"/>
        </w:rPr>
        <w:footnoteRef/>
      </w:r>
      <w:r w:rsidRPr="0046138A">
        <w:rPr>
          <w:lang w:val="en-US"/>
        </w:rPr>
        <w:t>GHG include</w:t>
      </w:r>
      <w:r>
        <w:rPr>
          <w:lang w:val="en-US"/>
        </w:rPr>
        <w:t>s</w:t>
      </w:r>
      <w:r w:rsidRPr="0046138A">
        <w:rPr>
          <w:lang w:val="en-US"/>
        </w:rPr>
        <w:t>: carbon dioxide (CO</w:t>
      </w:r>
      <w:r w:rsidRPr="00BD517B">
        <w:rPr>
          <w:vertAlign w:val="subscript"/>
          <w:lang w:val="en-US"/>
        </w:rPr>
        <w:t>2</w:t>
      </w:r>
      <w:r w:rsidRPr="0046138A">
        <w:rPr>
          <w:lang w:val="en-US"/>
        </w:rPr>
        <w:t>), hydrofluorocarbons (HFCs), perfluorocarbons (PFCs), sulphur hexafluorides (SF</w:t>
      </w:r>
      <w:r w:rsidRPr="00BD517B">
        <w:rPr>
          <w:vertAlign w:val="subscript"/>
          <w:lang w:val="en-US"/>
        </w:rPr>
        <w:t>6</w:t>
      </w:r>
      <w:r w:rsidRPr="0046138A">
        <w:rPr>
          <w:lang w:val="en-US"/>
        </w:rPr>
        <w:t>), methane (CH</w:t>
      </w:r>
      <w:r w:rsidRPr="00BD517B">
        <w:rPr>
          <w:vertAlign w:val="subscript"/>
          <w:lang w:val="en-US"/>
        </w:rPr>
        <w:t>4</w:t>
      </w:r>
      <w:r w:rsidRPr="0046138A">
        <w:rPr>
          <w:lang w:val="en-US"/>
        </w:rPr>
        <w:t>), nitrous oxide (N</w:t>
      </w:r>
      <w:r w:rsidRPr="00BD517B">
        <w:rPr>
          <w:vertAlign w:val="subscript"/>
          <w:lang w:val="en-US"/>
        </w:rPr>
        <w:t>2</w:t>
      </w:r>
      <w:r w:rsidRPr="0046138A">
        <w:rPr>
          <w:lang w:val="en-US"/>
        </w:rPr>
        <w:t>O), Nitrogen Trifluoride (NF</w:t>
      </w:r>
      <w:r w:rsidRPr="00BD517B">
        <w:rPr>
          <w:vertAlign w:val="subscript"/>
          <w:lang w:val="en-US"/>
        </w:rPr>
        <w:t>3</w:t>
      </w:r>
      <w:r w:rsidRPr="0046138A">
        <w:rPr>
          <w:lang w:val="en-US"/>
        </w:rPr>
        <w:t xml:space="preserve">), all expressed in "tonnes of CO2 equivalents" by applying weights reflecting </w:t>
      </w:r>
      <w:r>
        <w:rPr>
          <w:lang w:val="en-US"/>
        </w:rPr>
        <w:t xml:space="preserve">for </w:t>
      </w:r>
      <w:r w:rsidRPr="0046138A">
        <w:rPr>
          <w:lang w:val="en-US"/>
        </w:rPr>
        <w:t>each pollutant</w:t>
      </w:r>
      <w:r>
        <w:rPr>
          <w:lang w:val="en-US"/>
        </w:rPr>
        <w:t xml:space="preserve"> its</w:t>
      </w:r>
      <w:r w:rsidRPr="0046138A">
        <w:rPr>
          <w:lang w:val="en-US"/>
        </w:rPr>
        <w:t xml:space="preserve"> 'global warming potential' (GWP) in relation to the GWP of CO</w:t>
      </w:r>
      <w:r w:rsidRPr="00BD517B">
        <w:rPr>
          <w:vertAlign w:val="subscript"/>
          <w:lang w:val="en-US"/>
        </w:rPr>
        <w:t>2</w:t>
      </w:r>
      <w:r w:rsidRPr="0046138A">
        <w:rPr>
          <w:lang w:val="en-US"/>
        </w:rPr>
        <w:t>: 1 for CO</w:t>
      </w:r>
      <w:r w:rsidRPr="00BD517B">
        <w:rPr>
          <w:vertAlign w:val="subscript"/>
          <w:lang w:val="en-US"/>
        </w:rPr>
        <w:t>2</w:t>
      </w:r>
      <w:r w:rsidRPr="0046138A">
        <w:rPr>
          <w:lang w:val="en-US"/>
        </w:rPr>
        <w:t>, 25 for CH</w:t>
      </w:r>
      <w:r w:rsidRPr="00BD517B">
        <w:rPr>
          <w:vertAlign w:val="subscript"/>
          <w:lang w:val="en-US"/>
        </w:rPr>
        <w:t>4</w:t>
      </w:r>
      <w:r w:rsidRPr="0046138A">
        <w:rPr>
          <w:lang w:val="en-US"/>
        </w:rPr>
        <w:t>, 298 for N</w:t>
      </w:r>
      <w:r w:rsidRPr="00BD517B">
        <w:rPr>
          <w:vertAlign w:val="subscript"/>
          <w:lang w:val="en-US"/>
        </w:rPr>
        <w:t>2</w:t>
      </w:r>
      <w:r w:rsidRPr="0046138A">
        <w:rPr>
          <w:lang w:val="en-US"/>
        </w:rPr>
        <w:t>O, 17200 for NF</w:t>
      </w:r>
      <w:r w:rsidRPr="00BD517B">
        <w:rPr>
          <w:vertAlign w:val="subscript"/>
          <w:lang w:val="en-US"/>
        </w:rPr>
        <w:t>3</w:t>
      </w:r>
      <w:r w:rsidRPr="0046138A">
        <w:rPr>
          <w:lang w:val="en-US"/>
        </w:rPr>
        <w:t>, 22800 for SF</w:t>
      </w:r>
      <w:r w:rsidRPr="00BD517B">
        <w:rPr>
          <w:vertAlign w:val="subscript"/>
          <w:lang w:val="en-US"/>
        </w:rPr>
        <w:t>6</w:t>
      </w:r>
      <w:r w:rsidRPr="0046138A">
        <w:rPr>
          <w:lang w:val="en-US"/>
        </w:rPr>
        <w:t xml:space="preserve"> and various weights for HFCs, PFCs and SF</w:t>
      </w:r>
      <w:r w:rsidRPr="00BD517B">
        <w:rPr>
          <w:vertAlign w:val="subscript"/>
          <w:lang w:val="en-US"/>
        </w:rPr>
        <w:t>6</w:t>
      </w:r>
      <w:r w:rsidRPr="0046138A">
        <w:rPr>
          <w:lang w:val="en-US"/>
        </w:rPr>
        <w:t>.</w:t>
      </w:r>
    </w:p>
    <w:p w:rsidR="00C07FDE" w:rsidRPr="0046138A" w:rsidRDefault="00C07FDE" w:rsidP="00283DEB">
      <w:pPr>
        <w:pStyle w:val="Fotnotstext"/>
        <w:jc w:val="both"/>
        <w:rPr>
          <w:lang w:val="en-US"/>
        </w:rPr>
      </w:pPr>
      <w:r w:rsidRPr="0046138A">
        <w:rPr>
          <w:lang w:val="en-US"/>
        </w:rPr>
        <w:t>ACIDIFICATION takes into account: sulphur oxides (SO</w:t>
      </w:r>
      <w:r w:rsidRPr="00BD517B">
        <w:rPr>
          <w:vertAlign w:val="subscript"/>
          <w:lang w:val="en-US"/>
        </w:rPr>
        <w:t>x</w:t>
      </w:r>
      <w:r w:rsidRPr="0046138A">
        <w:rPr>
          <w:lang w:val="en-US"/>
        </w:rPr>
        <w:t>), nitrogen oxides (NO</w:t>
      </w:r>
      <w:r w:rsidRPr="00BD517B">
        <w:rPr>
          <w:vertAlign w:val="subscript"/>
          <w:lang w:val="en-US"/>
        </w:rPr>
        <w:t>x</w:t>
      </w:r>
      <w:r w:rsidRPr="0046138A">
        <w:rPr>
          <w:lang w:val="en-US"/>
        </w:rPr>
        <w:t>) and ammonia (NH</w:t>
      </w:r>
      <w:r w:rsidRPr="00BD517B">
        <w:rPr>
          <w:vertAlign w:val="subscript"/>
          <w:lang w:val="en-US"/>
        </w:rPr>
        <w:t>3</w:t>
      </w:r>
      <w:r w:rsidRPr="0046138A">
        <w:rPr>
          <w:lang w:val="en-US"/>
        </w:rPr>
        <w:t>), all expressed in "tonnes of potential acidification equivalent", by applying the following weights: 1/32 for SO</w:t>
      </w:r>
      <w:r w:rsidRPr="00BD517B">
        <w:rPr>
          <w:vertAlign w:val="subscript"/>
          <w:lang w:val="en-US"/>
        </w:rPr>
        <w:t>x</w:t>
      </w:r>
      <w:r>
        <w:rPr>
          <w:lang w:val="en-US"/>
        </w:rPr>
        <w:t>, 1/46 for NO</w:t>
      </w:r>
      <w:r w:rsidRPr="00BD517B">
        <w:rPr>
          <w:vertAlign w:val="subscript"/>
          <w:lang w:val="en-US"/>
        </w:rPr>
        <w:t>x</w:t>
      </w:r>
      <w:r w:rsidRPr="0046138A">
        <w:rPr>
          <w:lang w:val="en-US"/>
        </w:rPr>
        <w:t>,1/17 for NH</w:t>
      </w:r>
      <w:r w:rsidRPr="00BD517B">
        <w:rPr>
          <w:vertAlign w:val="subscript"/>
          <w:lang w:val="en-US"/>
        </w:rPr>
        <w:t>3</w:t>
      </w:r>
      <w:r w:rsidRPr="0046138A">
        <w:rPr>
          <w:lang w:val="en-US"/>
        </w:rPr>
        <w:t>.</w:t>
      </w:r>
    </w:p>
    <w:p w:rsidR="00C07FDE" w:rsidRPr="0046138A" w:rsidRDefault="00C07FDE" w:rsidP="00283DEB">
      <w:pPr>
        <w:pStyle w:val="Fotnotstext"/>
        <w:jc w:val="both"/>
        <w:rPr>
          <w:lang w:val="en-US"/>
        </w:rPr>
      </w:pPr>
      <w:r w:rsidRPr="0046138A">
        <w:rPr>
          <w:lang w:val="en-US"/>
        </w:rPr>
        <w:t>GROUND LEVEL OZONE takes into account: Non-Methane Volatile Organic Compounds (COVNM), nitrogen oxides (NO</w:t>
      </w:r>
      <w:r w:rsidRPr="00BD517B">
        <w:rPr>
          <w:vertAlign w:val="subscript"/>
          <w:lang w:val="en-US"/>
        </w:rPr>
        <w:t>x</w:t>
      </w:r>
      <w:r w:rsidRPr="0046138A">
        <w:rPr>
          <w:lang w:val="en-US"/>
        </w:rPr>
        <w:t>), methane (CH</w:t>
      </w:r>
      <w:r w:rsidRPr="00BD517B">
        <w:rPr>
          <w:vertAlign w:val="subscript"/>
          <w:lang w:val="en-US"/>
        </w:rPr>
        <w:t>4</w:t>
      </w:r>
      <w:r w:rsidRPr="0046138A">
        <w:rPr>
          <w:lang w:val="en-US"/>
        </w:rPr>
        <w:t>) and carbon monoxide (CO), all expressed in "potential tropospheric ozone formation" with the following weights: 1 for COVNM, 1.22 for NO</w:t>
      </w:r>
      <w:r w:rsidRPr="00BD517B">
        <w:rPr>
          <w:vertAlign w:val="subscript"/>
          <w:lang w:val="en-US"/>
        </w:rPr>
        <w:t>x</w:t>
      </w:r>
      <w:r w:rsidRPr="0046138A">
        <w:rPr>
          <w:lang w:val="en-US"/>
        </w:rPr>
        <w:t>, 0.014 for CH</w:t>
      </w:r>
      <w:r w:rsidRPr="00BD517B">
        <w:rPr>
          <w:vertAlign w:val="subscript"/>
          <w:lang w:val="en-US"/>
        </w:rPr>
        <w:t xml:space="preserve">4 </w:t>
      </w:r>
      <w:r w:rsidRPr="0046138A">
        <w:rPr>
          <w:lang w:val="en-US"/>
        </w:rPr>
        <w:t>and 0.11 for CO.</w:t>
      </w:r>
    </w:p>
  </w:footnote>
  <w:footnote w:id="15">
    <w:p w:rsidR="00C07FDE" w:rsidRPr="00EF7D1A" w:rsidRDefault="00C07FDE" w:rsidP="00107EC4">
      <w:pPr>
        <w:pStyle w:val="Testonotaapidipagina1"/>
        <w:rPr>
          <w:lang w:val="en-US"/>
        </w:rPr>
      </w:pPr>
      <w:r>
        <w:rPr>
          <w:rStyle w:val="Fotnotsreferens"/>
        </w:rPr>
        <w:footnoteRef/>
      </w:r>
      <w:r w:rsidRPr="00EF7D1A">
        <w:rPr>
          <w:lang w:val="en-US"/>
        </w:rPr>
        <w:t xml:space="preserve"> </w:t>
      </w:r>
      <w:r>
        <w:rPr>
          <w:lang w:val="en-US"/>
        </w:rPr>
        <w:t xml:space="preserve">The described method was developed on the basis of the Italian TSA methodology. </w:t>
      </w:r>
    </w:p>
  </w:footnote>
  <w:footnote w:id="16">
    <w:p w:rsidR="00C07FDE" w:rsidRPr="00A00F29" w:rsidRDefault="00C07FDE" w:rsidP="007C54C9">
      <w:pPr>
        <w:pStyle w:val="Fotnotstext"/>
        <w:jc w:val="both"/>
        <w:rPr>
          <w:lang w:val="en-US"/>
        </w:rPr>
      </w:pPr>
      <w:r>
        <w:rPr>
          <w:rStyle w:val="Fotnotsreferens"/>
        </w:rPr>
        <w:footnoteRef/>
      </w:r>
      <w:r w:rsidRPr="0046138A">
        <w:rPr>
          <w:lang w:val="en-US"/>
        </w:rPr>
        <w:t xml:space="preserve"> </w:t>
      </w:r>
      <w:r>
        <w:rPr>
          <w:rFonts w:asciiTheme="majorHAnsi" w:hAnsiTheme="majorHAnsi"/>
          <w:lang w:val="en-US"/>
        </w:rPr>
        <w:t xml:space="preserve">In </w:t>
      </w:r>
      <w:r w:rsidRPr="0046138A">
        <w:rPr>
          <w:rFonts w:asciiTheme="majorHAnsi" w:hAnsiTheme="majorHAnsi"/>
          <w:lang w:val="en-US"/>
        </w:rPr>
        <w:t>two cases</w:t>
      </w:r>
      <w:r>
        <w:rPr>
          <w:rFonts w:asciiTheme="majorHAnsi" w:hAnsiTheme="majorHAnsi"/>
          <w:lang w:val="en-US"/>
        </w:rPr>
        <w:t xml:space="preserve"> the scope of the tourism industry is identical to the national accounts economic activity</w:t>
      </w:r>
      <w:r w:rsidRPr="0046138A">
        <w:rPr>
          <w:rFonts w:asciiTheme="majorHAnsi" w:hAnsiTheme="majorHAnsi"/>
          <w:lang w:val="en-US"/>
        </w:rPr>
        <w:t>: ‘Creative, arts and entertainment activities’ and ‘Lotteries, betting and casinos related activities’</w:t>
      </w:r>
      <w:r>
        <w:rPr>
          <w:rFonts w:asciiTheme="majorHAnsi" w:hAnsiTheme="majorHAnsi"/>
          <w:lang w:val="en-US"/>
        </w:rPr>
        <w:t xml:space="preserve">. The relevant </w:t>
      </w:r>
      <w:r w:rsidRPr="00814445">
        <w:rPr>
          <w:rFonts w:asciiTheme="majorHAnsi" w:hAnsiTheme="majorHAnsi"/>
          <w:lang w:val="en-US"/>
        </w:rPr>
        <w:t>environmental flow</w:t>
      </w:r>
      <w:r>
        <w:rPr>
          <w:rFonts w:asciiTheme="majorHAnsi" w:hAnsiTheme="majorHAnsi"/>
          <w:lang w:val="en-US"/>
        </w:rPr>
        <w:t>s</w:t>
      </w:r>
      <w:r w:rsidRPr="00814445">
        <w:rPr>
          <w:rFonts w:asciiTheme="majorHAnsi" w:hAnsiTheme="majorHAnsi"/>
          <w:lang w:val="en-US"/>
        </w:rPr>
        <w:t xml:space="preserve"> therefore are exactly those calculated for the national accounts economic activity</w:t>
      </w:r>
      <w:r w:rsidRPr="0046138A">
        <w:rPr>
          <w:rFonts w:asciiTheme="majorHAnsi" w:hAnsiTheme="majorHAnsi"/>
          <w:lang w:val="en-US"/>
        </w:rPr>
        <w:t xml:space="preserve">. In addition </w:t>
      </w:r>
      <w:r w:rsidRPr="00814445">
        <w:rPr>
          <w:rFonts w:asciiTheme="majorHAnsi" w:hAnsiTheme="majorHAnsi"/>
          <w:lang w:val="en-US"/>
        </w:rPr>
        <w:t>environmental flow</w:t>
      </w:r>
      <w:r>
        <w:rPr>
          <w:rFonts w:asciiTheme="majorHAnsi" w:hAnsiTheme="majorHAnsi"/>
          <w:lang w:val="en-US"/>
        </w:rPr>
        <w:t>s</w:t>
      </w:r>
      <w:r w:rsidRPr="0046138A" w:rsidDel="00636412">
        <w:rPr>
          <w:rFonts w:asciiTheme="majorHAnsi" w:hAnsiTheme="majorHAnsi"/>
          <w:lang w:val="en-US"/>
        </w:rPr>
        <w:t xml:space="preserve"> </w:t>
      </w:r>
      <w:r w:rsidRPr="0046138A">
        <w:rPr>
          <w:rFonts w:asciiTheme="majorHAnsi" w:hAnsiTheme="majorHAnsi"/>
          <w:lang w:val="en-US"/>
        </w:rPr>
        <w:t xml:space="preserve">for the tourism industry ‘8 - Travel agencies and other reservation services’ are also identical to the NA economic activity ones since </w:t>
      </w:r>
      <w:r>
        <w:rPr>
          <w:rFonts w:asciiTheme="majorHAnsi" w:hAnsiTheme="majorHAnsi"/>
          <w:lang w:val="en-US"/>
        </w:rPr>
        <w:t xml:space="preserve">the relevant </w:t>
      </w:r>
      <w:r w:rsidRPr="00814445">
        <w:rPr>
          <w:rFonts w:asciiTheme="majorHAnsi" w:hAnsiTheme="majorHAnsi"/>
          <w:lang w:val="en-US"/>
        </w:rPr>
        <w:t xml:space="preserve">environmental </w:t>
      </w:r>
      <w:r>
        <w:rPr>
          <w:rFonts w:asciiTheme="majorHAnsi" w:hAnsiTheme="majorHAnsi"/>
          <w:lang w:val="en-US"/>
        </w:rPr>
        <w:t>flows</w:t>
      </w:r>
      <w:r w:rsidRPr="0046138A">
        <w:rPr>
          <w:rFonts w:asciiTheme="majorHAnsi" w:hAnsiTheme="majorHAnsi"/>
          <w:lang w:val="en-US"/>
        </w:rPr>
        <w:t xml:space="preserve"> actually relate to the portion of the </w:t>
      </w:r>
      <w:r>
        <w:rPr>
          <w:rFonts w:asciiTheme="majorHAnsi" w:hAnsiTheme="majorHAnsi"/>
          <w:lang w:val="en-US"/>
        </w:rPr>
        <w:t>output</w:t>
      </w:r>
      <w:r w:rsidRPr="0046138A">
        <w:rPr>
          <w:rFonts w:asciiTheme="majorHAnsi" w:hAnsiTheme="majorHAnsi"/>
          <w:lang w:val="en-US"/>
        </w:rPr>
        <w:t xml:space="preserve"> that </w:t>
      </w:r>
      <w:r>
        <w:rPr>
          <w:rFonts w:asciiTheme="majorHAnsi" w:hAnsiTheme="majorHAnsi"/>
          <w:lang w:val="en-US"/>
        </w:rPr>
        <w:t>is to be taken into account according to TSA</w:t>
      </w:r>
      <w:r w:rsidRPr="0046138A">
        <w:rPr>
          <w:rFonts w:asciiTheme="majorHAnsi" w:hAnsiTheme="majorHAnsi"/>
          <w:lang w:val="en-US"/>
        </w:rPr>
        <w:t xml:space="preserve"> </w:t>
      </w:r>
      <w:r>
        <w:rPr>
          <w:rFonts w:asciiTheme="majorHAnsi" w:hAnsiTheme="majorHAnsi"/>
          <w:lang w:val="en-US"/>
        </w:rPr>
        <w:t>(</w:t>
      </w:r>
      <w:r w:rsidRPr="00636412">
        <w:rPr>
          <w:rFonts w:asciiTheme="majorHAnsi" w:hAnsiTheme="majorHAnsi"/>
          <w:lang w:val="en-US"/>
        </w:rPr>
        <w:t>the portion of output related to package tours is not included</w:t>
      </w:r>
      <w:r w:rsidRPr="0046138A">
        <w:rPr>
          <w:rFonts w:asciiTheme="majorHAnsi" w:hAnsiTheme="majorHAnsi"/>
          <w:lang w:val="en-US"/>
        </w:rPr>
        <w:t xml:space="preserve"> </w:t>
      </w:r>
      <w:r>
        <w:rPr>
          <w:rFonts w:asciiTheme="majorHAnsi" w:hAnsiTheme="majorHAnsi"/>
          <w:lang w:val="en-US"/>
        </w:rPr>
        <w:t>and the same shall apply for corresponding</w:t>
      </w:r>
      <w:r w:rsidRPr="0046138A">
        <w:rPr>
          <w:rFonts w:asciiTheme="majorHAnsi" w:hAnsiTheme="majorHAnsi"/>
          <w:lang w:val="en-US"/>
        </w:rPr>
        <w:t xml:space="preserve"> </w:t>
      </w:r>
      <w:r w:rsidRPr="00814445">
        <w:rPr>
          <w:rFonts w:asciiTheme="majorHAnsi" w:hAnsiTheme="majorHAnsi"/>
          <w:lang w:val="en-US"/>
        </w:rPr>
        <w:t>environmental flow</w:t>
      </w:r>
      <w:r>
        <w:rPr>
          <w:rFonts w:asciiTheme="majorHAnsi" w:hAnsiTheme="majorHAnsi"/>
          <w:lang w:val="en-US"/>
        </w:rPr>
        <w:t>s</w:t>
      </w:r>
      <w:r w:rsidRPr="00814445">
        <w:rPr>
          <w:rFonts w:asciiTheme="majorHAnsi" w:hAnsiTheme="majorHAnsi"/>
          <w:lang w:val="en-US"/>
        </w:rPr>
        <w:t xml:space="preserve"> </w:t>
      </w:r>
      <w:r>
        <w:rPr>
          <w:rFonts w:asciiTheme="majorHAnsi" w:hAnsiTheme="majorHAnsi"/>
          <w:lang w:val="en-US"/>
        </w:rPr>
        <w:t>which indeed</w:t>
      </w:r>
      <w:r w:rsidRPr="0046138A">
        <w:rPr>
          <w:rFonts w:asciiTheme="majorHAnsi" w:hAnsiTheme="majorHAnsi"/>
          <w:lang w:val="en-US"/>
        </w:rPr>
        <w:t xml:space="preserve"> </w:t>
      </w:r>
      <w:r>
        <w:rPr>
          <w:rFonts w:asciiTheme="majorHAnsi" w:hAnsiTheme="majorHAnsi"/>
          <w:lang w:val="en-US"/>
        </w:rPr>
        <w:t xml:space="preserve">are </w:t>
      </w:r>
      <w:r w:rsidRPr="0046138A">
        <w:rPr>
          <w:rFonts w:asciiTheme="majorHAnsi" w:hAnsiTheme="majorHAnsi"/>
          <w:lang w:val="en-US"/>
        </w:rPr>
        <w:t>caused by other economic activities such as transport, accommodation, etc.</w:t>
      </w:r>
      <w:r>
        <w:rPr>
          <w:rFonts w:asciiTheme="majorHAnsi" w:hAnsiTheme="majorHAnsi"/>
          <w:lang w:val="en-US"/>
        </w:rPr>
        <w:t>).</w:t>
      </w:r>
    </w:p>
  </w:footnote>
  <w:footnote w:id="17">
    <w:p w:rsidR="00C07FDE" w:rsidRPr="00386ED8" w:rsidRDefault="00C07FDE" w:rsidP="00487433">
      <w:pPr>
        <w:pStyle w:val="Fotnotstext"/>
        <w:jc w:val="both"/>
        <w:rPr>
          <w:rFonts w:asciiTheme="majorHAnsi" w:hAnsiTheme="majorHAnsi"/>
          <w:lang w:val="en-US"/>
        </w:rPr>
      </w:pPr>
      <w:r>
        <w:rPr>
          <w:rStyle w:val="Fotnotsreferens"/>
        </w:rPr>
        <w:footnoteRef/>
      </w:r>
      <w:r w:rsidRPr="0046138A">
        <w:rPr>
          <w:lang w:val="en-US"/>
        </w:rPr>
        <w:t xml:space="preserve"> </w:t>
      </w:r>
      <w:r w:rsidRPr="0046138A">
        <w:rPr>
          <w:rFonts w:asciiTheme="majorHAnsi" w:hAnsiTheme="majorHAnsi"/>
          <w:lang w:val="en-US"/>
        </w:rPr>
        <w:t xml:space="preserve">For air emissions, this first best method </w:t>
      </w:r>
      <w:r>
        <w:rPr>
          <w:rFonts w:asciiTheme="majorHAnsi" w:hAnsiTheme="majorHAnsi"/>
          <w:lang w:val="en-US"/>
        </w:rPr>
        <w:t>is</w:t>
      </w:r>
      <w:r w:rsidRPr="0046138A">
        <w:rPr>
          <w:rFonts w:asciiTheme="majorHAnsi" w:hAnsiTheme="majorHAnsi"/>
          <w:lang w:val="en-US"/>
        </w:rPr>
        <w:t xml:space="preserve"> actually applied to estimate emissions of the ‘transport equipment rental’ tourism industry: all transport related air emissions are attributed to the tourism industry at stake whereas heating emissions can be singled out as belonging to the ‘sport’ component of the activity (part of tourism industry 10 as shown in column 3 of Table 1). In the case of EUQ, i.e. energy use estimates for tourism industry the first best option method was never feasible in practice.</w:t>
      </w:r>
    </w:p>
  </w:footnote>
  <w:footnote w:id="18">
    <w:p w:rsidR="00C07FDE" w:rsidRPr="00A448D6" w:rsidRDefault="00C07FDE" w:rsidP="00911814">
      <w:pPr>
        <w:pStyle w:val="Fotnotstext"/>
        <w:jc w:val="both"/>
        <w:rPr>
          <w:lang w:val="en-US"/>
        </w:rPr>
      </w:pPr>
      <w:r>
        <w:rPr>
          <w:rStyle w:val="Fotnotsreferens"/>
        </w:rPr>
        <w:footnoteRef/>
      </w:r>
      <w:r w:rsidRPr="00014B2A">
        <w:rPr>
          <w:lang w:val="en-US"/>
        </w:rPr>
        <w:t xml:space="preserve"> </w:t>
      </w:r>
      <w:r w:rsidRPr="00A448D6">
        <w:rPr>
          <w:lang w:val="en-US"/>
        </w:rPr>
        <w:t xml:space="preserve">Air emission accounts </w:t>
      </w:r>
      <w:r>
        <w:rPr>
          <w:lang w:val="en-US"/>
        </w:rPr>
        <w:t xml:space="preserve">by NACE are annually published by Istat. The TSA-SEEA case study used the December 2017 release: </w:t>
      </w:r>
      <w:r w:rsidRPr="00A448D6">
        <w:rPr>
          <w:lang w:val="en-US"/>
        </w:rPr>
        <w:t xml:space="preserve">Istat [2017] </w:t>
      </w:r>
      <w:hyperlink r:id="rId4" w:history="1">
        <w:r w:rsidRPr="007160E6">
          <w:rPr>
            <w:rStyle w:val="Hyperlnk"/>
            <w:lang w:val="en-US"/>
          </w:rPr>
          <w:t>http://dati.istat.it/Index.aspx?lang=en&amp;SubSessionId=7d9da96e-e22f-45ed-a07a-50ac25b25d47</w:t>
        </w:r>
      </w:hyperlink>
      <w:r>
        <w:rPr>
          <w:lang w:val="en-US"/>
        </w:rPr>
        <w:t xml:space="preserve"> </w:t>
      </w:r>
      <w:r w:rsidRPr="00A448D6">
        <w:rPr>
          <w:lang w:val="en-US"/>
        </w:rPr>
        <w:t>(National Accounts, Environmental Accounts, NAMEA air emissions – NACE REV.2, Production activities -December 2017 release).</w:t>
      </w:r>
      <w:r>
        <w:rPr>
          <w:lang w:val="en-US"/>
        </w:rPr>
        <w:t xml:space="preserve"> For calculation purposes, a</w:t>
      </w:r>
      <w:r w:rsidRPr="00014B2A">
        <w:rPr>
          <w:lang w:val="en-US"/>
        </w:rPr>
        <w:t xml:space="preserve">ir emission accounts at working level data </w:t>
      </w:r>
      <w:r>
        <w:rPr>
          <w:lang w:val="en-US"/>
        </w:rPr>
        <w:t xml:space="preserve">were used: they </w:t>
      </w:r>
      <w:r w:rsidRPr="00014B2A">
        <w:rPr>
          <w:lang w:val="en-US"/>
        </w:rPr>
        <w:t xml:space="preserve">are broken down by NACE activity as well as by process. </w:t>
      </w:r>
      <w:r>
        <w:rPr>
          <w:lang w:val="en-US"/>
        </w:rPr>
        <w:t>Air emissions due to transport process match transport related products of TSA.</w:t>
      </w:r>
    </w:p>
    <w:p w:rsidR="00C07FDE" w:rsidRPr="00014B2A" w:rsidRDefault="00C07FDE" w:rsidP="00911814">
      <w:pPr>
        <w:pStyle w:val="Fotnotstext"/>
        <w:jc w:val="both"/>
        <w:rPr>
          <w:lang w:val="en-US"/>
        </w:rPr>
      </w:pPr>
      <w:r>
        <w:rPr>
          <w:lang w:val="en-US"/>
        </w:rPr>
        <w:t xml:space="preserve">Similarly, energy use data by NACE are annually published by Istat. The TSA-SEEA case study used the December 2017 release: </w:t>
      </w:r>
      <w:r w:rsidRPr="00A448D6">
        <w:rPr>
          <w:lang w:val="en-US"/>
        </w:rPr>
        <w:t xml:space="preserve">Istat [2017) Energy use  </w:t>
      </w:r>
      <w:hyperlink r:id="rId5" w:history="1">
        <w:r w:rsidRPr="007160E6">
          <w:rPr>
            <w:rStyle w:val="Hyperlnk"/>
            <w:lang w:val="en-US"/>
          </w:rPr>
          <w:t>http://dati.istat.it/Index.aspx?lang=en&amp;SubSessionId=726e7fe2-422e-4ea7-9386-28bd227346c9</w:t>
        </w:r>
      </w:hyperlink>
      <w:r>
        <w:rPr>
          <w:lang w:val="en-US"/>
        </w:rPr>
        <w:t xml:space="preserve"> </w:t>
      </w:r>
      <w:r w:rsidRPr="00A448D6">
        <w:rPr>
          <w:lang w:val="en-US"/>
        </w:rPr>
        <w:t xml:space="preserve"> (National Accounts, Environmental Accounts, Energy use accounts, Economic activities – type of use - November 2017 release)</w:t>
      </w:r>
      <w:r>
        <w:rPr>
          <w:lang w:val="en-US"/>
        </w:rPr>
        <w:t xml:space="preserve">. For calculation purposes, energy use data </w:t>
      </w:r>
      <w:r w:rsidRPr="00014B2A">
        <w:rPr>
          <w:lang w:val="en-US"/>
        </w:rPr>
        <w:t xml:space="preserve">at working level data </w:t>
      </w:r>
      <w:r>
        <w:rPr>
          <w:lang w:val="en-US"/>
        </w:rPr>
        <w:t xml:space="preserve">were used: they </w:t>
      </w:r>
      <w:r w:rsidRPr="00014B2A">
        <w:rPr>
          <w:lang w:val="en-US"/>
        </w:rPr>
        <w:t xml:space="preserve">are broken down by NACE activity as well as by </w:t>
      </w:r>
      <w:r>
        <w:rPr>
          <w:lang w:val="en-US"/>
        </w:rPr>
        <w:t xml:space="preserve">purpose </w:t>
      </w:r>
      <w:r w:rsidRPr="00FD7525">
        <w:rPr>
          <w:rFonts w:cs="Arial"/>
          <w:lang w:val="en-US"/>
        </w:rPr>
        <w:t>(transport, heating, etc.)</w:t>
      </w:r>
      <w:r w:rsidRPr="00014B2A">
        <w:rPr>
          <w:lang w:val="en-US"/>
        </w:rPr>
        <w:t xml:space="preserve">. </w:t>
      </w:r>
      <w:r>
        <w:rPr>
          <w:lang w:val="en-US"/>
        </w:rPr>
        <w:t>Energy use for transport purposes match transport related products of TSA.</w:t>
      </w:r>
    </w:p>
  </w:footnote>
  <w:footnote w:id="19">
    <w:p w:rsidR="00C07FDE" w:rsidRPr="008B6D1C" w:rsidRDefault="00C07FDE">
      <w:pPr>
        <w:pStyle w:val="Fotnotstext"/>
        <w:rPr>
          <w:lang w:val="en-US"/>
        </w:rPr>
      </w:pPr>
      <w:r>
        <w:rPr>
          <w:rStyle w:val="Fotnotsreferens"/>
        </w:rPr>
        <w:footnoteRef/>
      </w:r>
      <w:r w:rsidRPr="008B6D1C">
        <w:rPr>
          <w:lang w:val="en-US"/>
        </w:rPr>
        <w:t xml:space="preserve"> </w:t>
      </w:r>
      <w:r>
        <w:rPr>
          <w:lang w:val="en-US"/>
        </w:rPr>
        <w:t>C</w:t>
      </w:r>
      <w:r w:rsidRPr="008B6D1C">
        <w:rPr>
          <w:lang w:val="en-US"/>
        </w:rPr>
        <w:t xml:space="preserve">onsumption perspective </w:t>
      </w:r>
      <w:r>
        <w:rPr>
          <w:lang w:val="en-US"/>
        </w:rPr>
        <w:t xml:space="preserve">and </w:t>
      </w:r>
      <w:r w:rsidRPr="008B6D1C">
        <w:rPr>
          <w:lang w:val="en-US"/>
        </w:rPr>
        <w:t xml:space="preserve">demand perspective are generally used as synonyms; the same applies to </w:t>
      </w:r>
      <w:r>
        <w:rPr>
          <w:lang w:val="en-US"/>
        </w:rPr>
        <w:t>p</w:t>
      </w:r>
      <w:r w:rsidRPr="008B6D1C">
        <w:rPr>
          <w:lang w:val="en-US"/>
        </w:rPr>
        <w:t>roduction perspective and supply perspective</w:t>
      </w:r>
      <w:r>
        <w:rPr>
          <w:lang w:val="en-US"/>
        </w:rPr>
        <w:t xml:space="preserve">. See also footnote </w:t>
      </w:r>
      <w:r>
        <w:rPr>
          <w:lang w:val="en-US"/>
        </w:rPr>
        <w:fldChar w:fldCharType="begin"/>
      </w:r>
      <w:r>
        <w:rPr>
          <w:lang w:val="en-US"/>
        </w:rPr>
        <w:instrText xml:space="preserve"> NOTEREF _Ref524948839 \h </w:instrText>
      </w:r>
      <w:r>
        <w:rPr>
          <w:lang w:val="en-US"/>
        </w:rPr>
      </w:r>
      <w:r>
        <w:rPr>
          <w:lang w:val="en-US"/>
        </w:rPr>
        <w:fldChar w:fldCharType="separate"/>
      </w:r>
      <w:r>
        <w:rPr>
          <w:lang w:val="en-US"/>
        </w:rPr>
        <w:t>7</w:t>
      </w:r>
      <w:r>
        <w:rPr>
          <w:lang w:val="en-US"/>
        </w:rPr>
        <w:fldChar w:fldCharType="end"/>
      </w:r>
      <w:r>
        <w:rPr>
          <w:lang w:val="en-US"/>
        </w:rPr>
        <w:t xml:space="preserve">. </w:t>
      </w:r>
    </w:p>
  </w:footnote>
  <w:footnote w:id="20">
    <w:p w:rsidR="00C07FDE" w:rsidRPr="00D2315A" w:rsidRDefault="00C07FDE" w:rsidP="00E73A4E">
      <w:pPr>
        <w:pStyle w:val="Fotnotstext"/>
        <w:jc w:val="both"/>
        <w:rPr>
          <w:lang w:val="en-US"/>
        </w:rPr>
      </w:pPr>
      <w:r w:rsidRPr="00D2315A">
        <w:rPr>
          <w:rStyle w:val="Fotnotsreferens"/>
        </w:rPr>
        <w:footnoteRef/>
      </w:r>
      <w:r w:rsidRPr="00D2315A">
        <w:rPr>
          <w:lang w:val="en-US"/>
        </w:rPr>
        <w:t xml:space="preserve"> For a comprehensive treatment of the issue of measuring the environmental sustainability of tourism from a</w:t>
      </w:r>
      <w:r>
        <w:rPr>
          <w:lang w:val="en-US"/>
        </w:rPr>
        <w:t>n enlarged</w:t>
      </w:r>
      <w:r w:rsidRPr="00D2315A">
        <w:rPr>
          <w:lang w:val="en-US"/>
        </w:rPr>
        <w:t xml:space="preserve"> demand perspective see Costantino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7F" w:rsidRDefault="002C10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7F" w:rsidRDefault="002C10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7F" w:rsidRDefault="002C10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327"/>
    <w:multiLevelType w:val="hybridMultilevel"/>
    <w:tmpl w:val="1AAEF646"/>
    <w:lvl w:ilvl="0" w:tplc="0410000F">
      <w:start w:val="1"/>
      <w:numFmt w:val="decimal"/>
      <w:lvlText w:val="%1."/>
      <w:lvlJc w:val="left"/>
      <w:pPr>
        <w:ind w:left="1428" w:hanging="72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AB73DCD"/>
    <w:multiLevelType w:val="hybridMultilevel"/>
    <w:tmpl w:val="538E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E608D6"/>
    <w:multiLevelType w:val="hybridMultilevel"/>
    <w:tmpl w:val="56683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7E1B79"/>
    <w:multiLevelType w:val="hybridMultilevel"/>
    <w:tmpl w:val="3886FA0E"/>
    <w:lvl w:ilvl="0" w:tplc="04100013">
      <w:start w:val="1"/>
      <w:numFmt w:val="upperRoman"/>
      <w:lvlText w:val="%1."/>
      <w:lvlJc w:val="righ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C3349"/>
    <w:multiLevelType w:val="hybridMultilevel"/>
    <w:tmpl w:val="82102D1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F3536"/>
    <w:multiLevelType w:val="multilevel"/>
    <w:tmpl w:val="450644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9071C3"/>
    <w:multiLevelType w:val="hybridMultilevel"/>
    <w:tmpl w:val="248A46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A65272"/>
    <w:multiLevelType w:val="hybridMultilevel"/>
    <w:tmpl w:val="8B6E8EFC"/>
    <w:lvl w:ilvl="0" w:tplc="F66AE996">
      <w:start w:val="1"/>
      <w:numFmt w:val="lowerRoman"/>
      <w:lvlText w:val="%1."/>
      <w:lvlJc w:val="left"/>
      <w:pPr>
        <w:ind w:left="178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17A511A"/>
    <w:multiLevelType w:val="hybridMultilevel"/>
    <w:tmpl w:val="37DEAC9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5757C0"/>
    <w:multiLevelType w:val="hybridMultilevel"/>
    <w:tmpl w:val="3256934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656F63"/>
    <w:multiLevelType w:val="hybridMultilevel"/>
    <w:tmpl w:val="702CE8B6"/>
    <w:lvl w:ilvl="0" w:tplc="F66AE996">
      <w:start w:val="1"/>
      <w:numFmt w:val="lowerRoman"/>
      <w:lvlText w:val="%1."/>
      <w:lvlJc w:val="left"/>
      <w:pPr>
        <w:ind w:left="1788" w:hanging="720"/>
      </w:pPr>
      <w:rPr>
        <w:rFonts w:hint="default"/>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CE309F8"/>
    <w:multiLevelType w:val="hybridMultilevel"/>
    <w:tmpl w:val="B30AFC96"/>
    <w:lvl w:ilvl="0" w:tplc="F66AE9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646641"/>
    <w:multiLevelType w:val="hybridMultilevel"/>
    <w:tmpl w:val="1E0C2F26"/>
    <w:lvl w:ilvl="0" w:tplc="0410000F">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3A83709"/>
    <w:multiLevelType w:val="hybridMultilevel"/>
    <w:tmpl w:val="B9F0C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8B2D9B"/>
    <w:multiLevelType w:val="hybridMultilevel"/>
    <w:tmpl w:val="8CE83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8F446B"/>
    <w:multiLevelType w:val="hybridMultilevel"/>
    <w:tmpl w:val="E4648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547666"/>
    <w:multiLevelType w:val="hybridMultilevel"/>
    <w:tmpl w:val="3256934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849C8"/>
    <w:multiLevelType w:val="hybridMultilevel"/>
    <w:tmpl w:val="9314C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962C1B"/>
    <w:multiLevelType w:val="hybridMultilevel"/>
    <w:tmpl w:val="1D34AB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8804C2"/>
    <w:multiLevelType w:val="hybridMultilevel"/>
    <w:tmpl w:val="6382E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E63621"/>
    <w:multiLevelType w:val="hybridMultilevel"/>
    <w:tmpl w:val="F57067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CE13F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7A7613"/>
    <w:multiLevelType w:val="hybridMultilevel"/>
    <w:tmpl w:val="1D34AB6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8"/>
  </w:num>
  <w:num w:numId="4">
    <w:abstractNumId w:val="11"/>
  </w:num>
  <w:num w:numId="5">
    <w:abstractNumId w:val="10"/>
  </w:num>
  <w:num w:numId="6">
    <w:abstractNumId w:val="15"/>
  </w:num>
  <w:num w:numId="7">
    <w:abstractNumId w:val="17"/>
  </w:num>
  <w:num w:numId="8">
    <w:abstractNumId w:val="6"/>
  </w:num>
  <w:num w:numId="9">
    <w:abstractNumId w:val="5"/>
  </w:num>
  <w:num w:numId="10">
    <w:abstractNumId w:val="3"/>
  </w:num>
  <w:num w:numId="11">
    <w:abstractNumId w:val="12"/>
  </w:num>
  <w:num w:numId="12">
    <w:abstractNumId w:val="7"/>
  </w:num>
  <w:num w:numId="13">
    <w:abstractNumId w:val="0"/>
  </w:num>
  <w:num w:numId="14">
    <w:abstractNumId w:val="13"/>
  </w:num>
  <w:num w:numId="15">
    <w:abstractNumId w:val="4"/>
  </w:num>
  <w:num w:numId="16">
    <w:abstractNumId w:val="9"/>
  </w:num>
  <w:num w:numId="17">
    <w:abstractNumId w:val="16"/>
  </w:num>
  <w:num w:numId="18">
    <w:abstractNumId w:val="2"/>
  </w:num>
  <w:num w:numId="19">
    <w:abstractNumId w:val="8"/>
  </w:num>
  <w:num w:numId="20">
    <w:abstractNumId w:val="22"/>
  </w:num>
  <w:num w:numId="21">
    <w:abstractNumId w:val="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63"/>
    <w:rsid w:val="000031F5"/>
    <w:rsid w:val="00005F89"/>
    <w:rsid w:val="00006C1A"/>
    <w:rsid w:val="000101DE"/>
    <w:rsid w:val="000123AF"/>
    <w:rsid w:val="00014269"/>
    <w:rsid w:val="00014B2A"/>
    <w:rsid w:val="000222C3"/>
    <w:rsid w:val="00022801"/>
    <w:rsid w:val="00025153"/>
    <w:rsid w:val="00026C34"/>
    <w:rsid w:val="00026D4A"/>
    <w:rsid w:val="0003183D"/>
    <w:rsid w:val="00033BEB"/>
    <w:rsid w:val="00040536"/>
    <w:rsid w:val="00045B80"/>
    <w:rsid w:val="00046980"/>
    <w:rsid w:val="000471AB"/>
    <w:rsid w:val="000532EB"/>
    <w:rsid w:val="00056CF0"/>
    <w:rsid w:val="00057086"/>
    <w:rsid w:val="00061079"/>
    <w:rsid w:val="0006731D"/>
    <w:rsid w:val="0007038C"/>
    <w:rsid w:val="00071588"/>
    <w:rsid w:val="00082631"/>
    <w:rsid w:val="000839FE"/>
    <w:rsid w:val="00084B8C"/>
    <w:rsid w:val="000857FB"/>
    <w:rsid w:val="0008617F"/>
    <w:rsid w:val="00093316"/>
    <w:rsid w:val="00093BA6"/>
    <w:rsid w:val="000A4091"/>
    <w:rsid w:val="000A4EC1"/>
    <w:rsid w:val="000A77B6"/>
    <w:rsid w:val="000B0B08"/>
    <w:rsid w:val="000B722D"/>
    <w:rsid w:val="000C5BD3"/>
    <w:rsid w:val="000C7249"/>
    <w:rsid w:val="000D2302"/>
    <w:rsid w:val="000E3391"/>
    <w:rsid w:val="000E6993"/>
    <w:rsid w:val="000F108D"/>
    <w:rsid w:val="00104450"/>
    <w:rsid w:val="00104B06"/>
    <w:rsid w:val="00107EC4"/>
    <w:rsid w:val="001129F8"/>
    <w:rsid w:val="001136F7"/>
    <w:rsid w:val="00117B0D"/>
    <w:rsid w:val="00124035"/>
    <w:rsid w:val="00124409"/>
    <w:rsid w:val="001254E4"/>
    <w:rsid w:val="001264EC"/>
    <w:rsid w:val="001325E2"/>
    <w:rsid w:val="0013342C"/>
    <w:rsid w:val="00140738"/>
    <w:rsid w:val="001441F5"/>
    <w:rsid w:val="00144D73"/>
    <w:rsid w:val="00147D78"/>
    <w:rsid w:val="00154F47"/>
    <w:rsid w:val="00160707"/>
    <w:rsid w:val="0016275C"/>
    <w:rsid w:val="00171A04"/>
    <w:rsid w:val="001725B0"/>
    <w:rsid w:val="00175B44"/>
    <w:rsid w:val="00176D15"/>
    <w:rsid w:val="001854BB"/>
    <w:rsid w:val="00190622"/>
    <w:rsid w:val="00192C69"/>
    <w:rsid w:val="0019556E"/>
    <w:rsid w:val="001A5E35"/>
    <w:rsid w:val="001B6BFC"/>
    <w:rsid w:val="001C0875"/>
    <w:rsid w:val="001C11F7"/>
    <w:rsid w:val="001C43F4"/>
    <w:rsid w:val="001D4C7F"/>
    <w:rsid w:val="001D4ED8"/>
    <w:rsid w:val="001E63E4"/>
    <w:rsid w:val="001E6597"/>
    <w:rsid w:val="001F1A93"/>
    <w:rsid w:val="001F7A80"/>
    <w:rsid w:val="001F7F91"/>
    <w:rsid w:val="00204468"/>
    <w:rsid w:val="00206B71"/>
    <w:rsid w:val="002135E7"/>
    <w:rsid w:val="0022150E"/>
    <w:rsid w:val="002218D2"/>
    <w:rsid w:val="00226D89"/>
    <w:rsid w:val="0023153A"/>
    <w:rsid w:val="00232F0F"/>
    <w:rsid w:val="00250E85"/>
    <w:rsid w:val="002528F0"/>
    <w:rsid w:val="002534EE"/>
    <w:rsid w:val="002578DE"/>
    <w:rsid w:val="00262792"/>
    <w:rsid w:val="002702B5"/>
    <w:rsid w:val="0027244E"/>
    <w:rsid w:val="0027488F"/>
    <w:rsid w:val="002757C1"/>
    <w:rsid w:val="00283DEB"/>
    <w:rsid w:val="002860D1"/>
    <w:rsid w:val="00286890"/>
    <w:rsid w:val="00286A10"/>
    <w:rsid w:val="00294AF1"/>
    <w:rsid w:val="002A3219"/>
    <w:rsid w:val="002A56A1"/>
    <w:rsid w:val="002B46CA"/>
    <w:rsid w:val="002C0D2E"/>
    <w:rsid w:val="002C107F"/>
    <w:rsid w:val="002C7066"/>
    <w:rsid w:val="002D0A83"/>
    <w:rsid w:val="002D4099"/>
    <w:rsid w:val="002D5814"/>
    <w:rsid w:val="002D755D"/>
    <w:rsid w:val="002F1DB9"/>
    <w:rsid w:val="002F61F4"/>
    <w:rsid w:val="0030380B"/>
    <w:rsid w:val="00310079"/>
    <w:rsid w:val="003128D3"/>
    <w:rsid w:val="00316A11"/>
    <w:rsid w:val="0031756E"/>
    <w:rsid w:val="00317DBB"/>
    <w:rsid w:val="003267BA"/>
    <w:rsid w:val="0033543B"/>
    <w:rsid w:val="003358D1"/>
    <w:rsid w:val="00335AA1"/>
    <w:rsid w:val="00336E95"/>
    <w:rsid w:val="00344D57"/>
    <w:rsid w:val="0035162E"/>
    <w:rsid w:val="00351F60"/>
    <w:rsid w:val="003540DC"/>
    <w:rsid w:val="003612CB"/>
    <w:rsid w:val="00361A54"/>
    <w:rsid w:val="00363347"/>
    <w:rsid w:val="00364196"/>
    <w:rsid w:val="003644FD"/>
    <w:rsid w:val="00364985"/>
    <w:rsid w:val="0036515D"/>
    <w:rsid w:val="00365420"/>
    <w:rsid w:val="0036617F"/>
    <w:rsid w:val="00370196"/>
    <w:rsid w:val="003709B5"/>
    <w:rsid w:val="0038146F"/>
    <w:rsid w:val="003830DF"/>
    <w:rsid w:val="0038697D"/>
    <w:rsid w:val="0039036E"/>
    <w:rsid w:val="00391DC1"/>
    <w:rsid w:val="0039451D"/>
    <w:rsid w:val="00394AE3"/>
    <w:rsid w:val="003A1955"/>
    <w:rsid w:val="003A3379"/>
    <w:rsid w:val="003B0F98"/>
    <w:rsid w:val="003B1D09"/>
    <w:rsid w:val="003B4744"/>
    <w:rsid w:val="003C0CC8"/>
    <w:rsid w:val="003C3350"/>
    <w:rsid w:val="003C71F4"/>
    <w:rsid w:val="003D0603"/>
    <w:rsid w:val="003E3001"/>
    <w:rsid w:val="003E7B2C"/>
    <w:rsid w:val="003F0FDD"/>
    <w:rsid w:val="003F15C4"/>
    <w:rsid w:val="003F2742"/>
    <w:rsid w:val="003F3FB0"/>
    <w:rsid w:val="003F6D41"/>
    <w:rsid w:val="00402D4B"/>
    <w:rsid w:val="00412CA8"/>
    <w:rsid w:val="0041421D"/>
    <w:rsid w:val="00416D2A"/>
    <w:rsid w:val="004214EC"/>
    <w:rsid w:val="00421C8F"/>
    <w:rsid w:val="004249E8"/>
    <w:rsid w:val="0042762C"/>
    <w:rsid w:val="004302AC"/>
    <w:rsid w:val="00433402"/>
    <w:rsid w:val="00436D91"/>
    <w:rsid w:val="004422A7"/>
    <w:rsid w:val="004453D9"/>
    <w:rsid w:val="004518E3"/>
    <w:rsid w:val="00451D91"/>
    <w:rsid w:val="00453A17"/>
    <w:rsid w:val="00453CB8"/>
    <w:rsid w:val="004558FA"/>
    <w:rsid w:val="004559FD"/>
    <w:rsid w:val="004603AA"/>
    <w:rsid w:val="0046138A"/>
    <w:rsid w:val="0046319D"/>
    <w:rsid w:val="0046333E"/>
    <w:rsid w:val="0047228E"/>
    <w:rsid w:val="0047298B"/>
    <w:rsid w:val="00474BD5"/>
    <w:rsid w:val="00480D3D"/>
    <w:rsid w:val="00480E63"/>
    <w:rsid w:val="00481280"/>
    <w:rsid w:val="00482E44"/>
    <w:rsid w:val="00485E20"/>
    <w:rsid w:val="00487433"/>
    <w:rsid w:val="00487B76"/>
    <w:rsid w:val="004962EB"/>
    <w:rsid w:val="004A3C8B"/>
    <w:rsid w:val="004A7B79"/>
    <w:rsid w:val="004B218C"/>
    <w:rsid w:val="004B755B"/>
    <w:rsid w:val="004C407A"/>
    <w:rsid w:val="004D18D3"/>
    <w:rsid w:val="004D3776"/>
    <w:rsid w:val="004D37D3"/>
    <w:rsid w:val="004D6A0D"/>
    <w:rsid w:val="004E039C"/>
    <w:rsid w:val="004F1EE2"/>
    <w:rsid w:val="004F294C"/>
    <w:rsid w:val="004F46AC"/>
    <w:rsid w:val="004F7EE0"/>
    <w:rsid w:val="00501F89"/>
    <w:rsid w:val="005025A1"/>
    <w:rsid w:val="005049D1"/>
    <w:rsid w:val="005113EF"/>
    <w:rsid w:val="00516949"/>
    <w:rsid w:val="00517E9C"/>
    <w:rsid w:val="00522DF7"/>
    <w:rsid w:val="005234D4"/>
    <w:rsid w:val="0052480A"/>
    <w:rsid w:val="005261F2"/>
    <w:rsid w:val="00532A34"/>
    <w:rsid w:val="00532DA2"/>
    <w:rsid w:val="005335E6"/>
    <w:rsid w:val="00540762"/>
    <w:rsid w:val="00544A1F"/>
    <w:rsid w:val="00547F68"/>
    <w:rsid w:val="00555A03"/>
    <w:rsid w:val="005602A8"/>
    <w:rsid w:val="005636D4"/>
    <w:rsid w:val="005647C8"/>
    <w:rsid w:val="00565CDC"/>
    <w:rsid w:val="00571145"/>
    <w:rsid w:val="005728DA"/>
    <w:rsid w:val="00575875"/>
    <w:rsid w:val="00584676"/>
    <w:rsid w:val="00585030"/>
    <w:rsid w:val="005863C1"/>
    <w:rsid w:val="0059229E"/>
    <w:rsid w:val="005956D1"/>
    <w:rsid w:val="00597496"/>
    <w:rsid w:val="005A7180"/>
    <w:rsid w:val="005B3517"/>
    <w:rsid w:val="005B4901"/>
    <w:rsid w:val="005B52F0"/>
    <w:rsid w:val="005B6877"/>
    <w:rsid w:val="005C1722"/>
    <w:rsid w:val="005D1823"/>
    <w:rsid w:val="005D6E98"/>
    <w:rsid w:val="005E0949"/>
    <w:rsid w:val="005F0FCA"/>
    <w:rsid w:val="005F13E1"/>
    <w:rsid w:val="005F33DE"/>
    <w:rsid w:val="00600BF2"/>
    <w:rsid w:val="006018E6"/>
    <w:rsid w:val="00602945"/>
    <w:rsid w:val="00604F51"/>
    <w:rsid w:val="0060536F"/>
    <w:rsid w:val="00610B6B"/>
    <w:rsid w:val="00612BD3"/>
    <w:rsid w:val="00613C47"/>
    <w:rsid w:val="00617DB4"/>
    <w:rsid w:val="00625A70"/>
    <w:rsid w:val="0063415D"/>
    <w:rsid w:val="00634441"/>
    <w:rsid w:val="00636412"/>
    <w:rsid w:val="00636C84"/>
    <w:rsid w:val="00640E3E"/>
    <w:rsid w:val="00647707"/>
    <w:rsid w:val="006507B4"/>
    <w:rsid w:val="00650D48"/>
    <w:rsid w:val="006539D6"/>
    <w:rsid w:val="00660843"/>
    <w:rsid w:val="006614EA"/>
    <w:rsid w:val="0066264D"/>
    <w:rsid w:val="00664AD0"/>
    <w:rsid w:val="0066614C"/>
    <w:rsid w:val="00667DE6"/>
    <w:rsid w:val="006709C6"/>
    <w:rsid w:val="0067460F"/>
    <w:rsid w:val="00680A92"/>
    <w:rsid w:val="00684E00"/>
    <w:rsid w:val="00692258"/>
    <w:rsid w:val="00694180"/>
    <w:rsid w:val="006A23C3"/>
    <w:rsid w:val="006A4A3A"/>
    <w:rsid w:val="006B4BD4"/>
    <w:rsid w:val="006C161E"/>
    <w:rsid w:val="006D0459"/>
    <w:rsid w:val="006E1713"/>
    <w:rsid w:val="006E3BBD"/>
    <w:rsid w:val="006E7B81"/>
    <w:rsid w:val="006F0B4B"/>
    <w:rsid w:val="006F37B4"/>
    <w:rsid w:val="006F7CE0"/>
    <w:rsid w:val="006F7D74"/>
    <w:rsid w:val="007046F8"/>
    <w:rsid w:val="0070593F"/>
    <w:rsid w:val="00712259"/>
    <w:rsid w:val="00722362"/>
    <w:rsid w:val="00726A18"/>
    <w:rsid w:val="00730A99"/>
    <w:rsid w:val="00731980"/>
    <w:rsid w:val="00732990"/>
    <w:rsid w:val="0073657F"/>
    <w:rsid w:val="00746601"/>
    <w:rsid w:val="00747D9C"/>
    <w:rsid w:val="00750C00"/>
    <w:rsid w:val="007513CD"/>
    <w:rsid w:val="0076446B"/>
    <w:rsid w:val="00771727"/>
    <w:rsid w:val="00771E48"/>
    <w:rsid w:val="00780FD0"/>
    <w:rsid w:val="00784DC0"/>
    <w:rsid w:val="007928F5"/>
    <w:rsid w:val="00793BCF"/>
    <w:rsid w:val="007A18DF"/>
    <w:rsid w:val="007A1F19"/>
    <w:rsid w:val="007B7D2B"/>
    <w:rsid w:val="007C0EA5"/>
    <w:rsid w:val="007C1348"/>
    <w:rsid w:val="007C3C96"/>
    <w:rsid w:val="007C54C9"/>
    <w:rsid w:val="007C66F5"/>
    <w:rsid w:val="007D3240"/>
    <w:rsid w:val="007D3245"/>
    <w:rsid w:val="007D41BE"/>
    <w:rsid w:val="007D6F00"/>
    <w:rsid w:val="007E3E11"/>
    <w:rsid w:val="007F14B1"/>
    <w:rsid w:val="007F25BE"/>
    <w:rsid w:val="007F3215"/>
    <w:rsid w:val="007F3802"/>
    <w:rsid w:val="007F6629"/>
    <w:rsid w:val="008002F3"/>
    <w:rsid w:val="00812C7E"/>
    <w:rsid w:val="00814445"/>
    <w:rsid w:val="00816E67"/>
    <w:rsid w:val="00817ECF"/>
    <w:rsid w:val="0082514D"/>
    <w:rsid w:val="00825246"/>
    <w:rsid w:val="00826953"/>
    <w:rsid w:val="0083048E"/>
    <w:rsid w:val="00833121"/>
    <w:rsid w:val="008455E4"/>
    <w:rsid w:val="00860ACB"/>
    <w:rsid w:val="00866084"/>
    <w:rsid w:val="0086671E"/>
    <w:rsid w:val="00866D52"/>
    <w:rsid w:val="00867D64"/>
    <w:rsid w:val="0087079D"/>
    <w:rsid w:val="00873F65"/>
    <w:rsid w:val="00873F9B"/>
    <w:rsid w:val="008756C5"/>
    <w:rsid w:val="00877E85"/>
    <w:rsid w:val="0089511A"/>
    <w:rsid w:val="00897A4F"/>
    <w:rsid w:val="008A2D73"/>
    <w:rsid w:val="008A59C1"/>
    <w:rsid w:val="008B3EFF"/>
    <w:rsid w:val="008B6D1C"/>
    <w:rsid w:val="008C3A34"/>
    <w:rsid w:val="008C3D5D"/>
    <w:rsid w:val="008C6ADC"/>
    <w:rsid w:val="008D0B73"/>
    <w:rsid w:val="008E7311"/>
    <w:rsid w:val="008E74A2"/>
    <w:rsid w:val="008F58DA"/>
    <w:rsid w:val="008F5F29"/>
    <w:rsid w:val="008F7CBD"/>
    <w:rsid w:val="00900C85"/>
    <w:rsid w:val="00911814"/>
    <w:rsid w:val="00914532"/>
    <w:rsid w:val="00917222"/>
    <w:rsid w:val="00917D41"/>
    <w:rsid w:val="00922E8E"/>
    <w:rsid w:val="0092741F"/>
    <w:rsid w:val="009317EB"/>
    <w:rsid w:val="0093439E"/>
    <w:rsid w:val="009458EA"/>
    <w:rsid w:val="009477B7"/>
    <w:rsid w:val="00950DCF"/>
    <w:rsid w:val="00961C0F"/>
    <w:rsid w:val="00962CDD"/>
    <w:rsid w:val="0098441F"/>
    <w:rsid w:val="00985022"/>
    <w:rsid w:val="00990D4B"/>
    <w:rsid w:val="009914C3"/>
    <w:rsid w:val="00997154"/>
    <w:rsid w:val="009A260C"/>
    <w:rsid w:val="009A4145"/>
    <w:rsid w:val="009A4225"/>
    <w:rsid w:val="009B0706"/>
    <w:rsid w:val="009B098B"/>
    <w:rsid w:val="009B1A19"/>
    <w:rsid w:val="009B4C55"/>
    <w:rsid w:val="009B6A3A"/>
    <w:rsid w:val="009C4217"/>
    <w:rsid w:val="009C4F89"/>
    <w:rsid w:val="009C7785"/>
    <w:rsid w:val="009D4D7A"/>
    <w:rsid w:val="009D70A6"/>
    <w:rsid w:val="009E1232"/>
    <w:rsid w:val="009F2C89"/>
    <w:rsid w:val="009F3310"/>
    <w:rsid w:val="009F3A5F"/>
    <w:rsid w:val="009F482A"/>
    <w:rsid w:val="009F546B"/>
    <w:rsid w:val="00A01539"/>
    <w:rsid w:val="00A07EED"/>
    <w:rsid w:val="00A1177A"/>
    <w:rsid w:val="00A135FD"/>
    <w:rsid w:val="00A15729"/>
    <w:rsid w:val="00A22504"/>
    <w:rsid w:val="00A23762"/>
    <w:rsid w:val="00A2797D"/>
    <w:rsid w:val="00A35C21"/>
    <w:rsid w:val="00A41564"/>
    <w:rsid w:val="00A424BD"/>
    <w:rsid w:val="00A448D6"/>
    <w:rsid w:val="00A44AA8"/>
    <w:rsid w:val="00A46A14"/>
    <w:rsid w:val="00A50115"/>
    <w:rsid w:val="00A50A49"/>
    <w:rsid w:val="00A52C9A"/>
    <w:rsid w:val="00A53611"/>
    <w:rsid w:val="00A537A4"/>
    <w:rsid w:val="00A62A29"/>
    <w:rsid w:val="00A736BF"/>
    <w:rsid w:val="00A8786F"/>
    <w:rsid w:val="00A95A68"/>
    <w:rsid w:val="00AA3436"/>
    <w:rsid w:val="00AC0B41"/>
    <w:rsid w:val="00AC37BA"/>
    <w:rsid w:val="00AC4ECE"/>
    <w:rsid w:val="00AC7A68"/>
    <w:rsid w:val="00AD2516"/>
    <w:rsid w:val="00AD42F0"/>
    <w:rsid w:val="00AD5CAD"/>
    <w:rsid w:val="00AD6488"/>
    <w:rsid w:val="00AE0518"/>
    <w:rsid w:val="00AE1326"/>
    <w:rsid w:val="00AE4BDE"/>
    <w:rsid w:val="00AE4D0A"/>
    <w:rsid w:val="00AF1FB1"/>
    <w:rsid w:val="00AF5B3E"/>
    <w:rsid w:val="00B00E1E"/>
    <w:rsid w:val="00B04113"/>
    <w:rsid w:val="00B13AA7"/>
    <w:rsid w:val="00B25ED3"/>
    <w:rsid w:val="00B2645B"/>
    <w:rsid w:val="00B270AF"/>
    <w:rsid w:val="00B34B0E"/>
    <w:rsid w:val="00B375C2"/>
    <w:rsid w:val="00B42DF0"/>
    <w:rsid w:val="00B51451"/>
    <w:rsid w:val="00B60486"/>
    <w:rsid w:val="00B60D2B"/>
    <w:rsid w:val="00B60E3D"/>
    <w:rsid w:val="00B614C8"/>
    <w:rsid w:val="00B61CC5"/>
    <w:rsid w:val="00B638B3"/>
    <w:rsid w:val="00B6519A"/>
    <w:rsid w:val="00B6681B"/>
    <w:rsid w:val="00B80EC7"/>
    <w:rsid w:val="00B81A65"/>
    <w:rsid w:val="00B84E26"/>
    <w:rsid w:val="00B87861"/>
    <w:rsid w:val="00B9134F"/>
    <w:rsid w:val="00B930F6"/>
    <w:rsid w:val="00B938C4"/>
    <w:rsid w:val="00BA2CF2"/>
    <w:rsid w:val="00BA307E"/>
    <w:rsid w:val="00BA7D90"/>
    <w:rsid w:val="00BB58FE"/>
    <w:rsid w:val="00BB6559"/>
    <w:rsid w:val="00BC067C"/>
    <w:rsid w:val="00BC115B"/>
    <w:rsid w:val="00BC31D1"/>
    <w:rsid w:val="00BC3205"/>
    <w:rsid w:val="00BC3230"/>
    <w:rsid w:val="00BC615C"/>
    <w:rsid w:val="00BC70B9"/>
    <w:rsid w:val="00BD00BE"/>
    <w:rsid w:val="00BD517B"/>
    <w:rsid w:val="00BE5148"/>
    <w:rsid w:val="00BF0153"/>
    <w:rsid w:val="00BF45C5"/>
    <w:rsid w:val="00BF4ACF"/>
    <w:rsid w:val="00BF681D"/>
    <w:rsid w:val="00C00A8E"/>
    <w:rsid w:val="00C02B8E"/>
    <w:rsid w:val="00C069FF"/>
    <w:rsid w:val="00C07FDE"/>
    <w:rsid w:val="00C15B60"/>
    <w:rsid w:val="00C21639"/>
    <w:rsid w:val="00C251CC"/>
    <w:rsid w:val="00C25AFA"/>
    <w:rsid w:val="00C32A82"/>
    <w:rsid w:val="00C34381"/>
    <w:rsid w:val="00C43D63"/>
    <w:rsid w:val="00C4604A"/>
    <w:rsid w:val="00C4638F"/>
    <w:rsid w:val="00C55EA8"/>
    <w:rsid w:val="00C620AC"/>
    <w:rsid w:val="00C627A1"/>
    <w:rsid w:val="00C62AE4"/>
    <w:rsid w:val="00C6598A"/>
    <w:rsid w:val="00C73657"/>
    <w:rsid w:val="00C76850"/>
    <w:rsid w:val="00C80575"/>
    <w:rsid w:val="00C87EC6"/>
    <w:rsid w:val="00C90925"/>
    <w:rsid w:val="00C9592B"/>
    <w:rsid w:val="00CA27CB"/>
    <w:rsid w:val="00CA502C"/>
    <w:rsid w:val="00CB4BBD"/>
    <w:rsid w:val="00CB6441"/>
    <w:rsid w:val="00CB7254"/>
    <w:rsid w:val="00CC4D66"/>
    <w:rsid w:val="00CC7E3B"/>
    <w:rsid w:val="00CD65C0"/>
    <w:rsid w:val="00CD7331"/>
    <w:rsid w:val="00CE2C58"/>
    <w:rsid w:val="00CE600A"/>
    <w:rsid w:val="00CF696F"/>
    <w:rsid w:val="00D00E35"/>
    <w:rsid w:val="00D01F0F"/>
    <w:rsid w:val="00D02D37"/>
    <w:rsid w:val="00D07178"/>
    <w:rsid w:val="00D11776"/>
    <w:rsid w:val="00D201FF"/>
    <w:rsid w:val="00D206FE"/>
    <w:rsid w:val="00D22887"/>
    <w:rsid w:val="00D2315A"/>
    <w:rsid w:val="00D25773"/>
    <w:rsid w:val="00D27CA5"/>
    <w:rsid w:val="00D31249"/>
    <w:rsid w:val="00D34C82"/>
    <w:rsid w:val="00D40EA8"/>
    <w:rsid w:val="00D44575"/>
    <w:rsid w:val="00D44C09"/>
    <w:rsid w:val="00D510A6"/>
    <w:rsid w:val="00D51EC3"/>
    <w:rsid w:val="00D67193"/>
    <w:rsid w:val="00D71160"/>
    <w:rsid w:val="00D73C89"/>
    <w:rsid w:val="00D73E62"/>
    <w:rsid w:val="00D7529A"/>
    <w:rsid w:val="00D76402"/>
    <w:rsid w:val="00D81C75"/>
    <w:rsid w:val="00D81F51"/>
    <w:rsid w:val="00D83622"/>
    <w:rsid w:val="00D8788E"/>
    <w:rsid w:val="00DA10A4"/>
    <w:rsid w:val="00DA160E"/>
    <w:rsid w:val="00DA2F1E"/>
    <w:rsid w:val="00DA769F"/>
    <w:rsid w:val="00DB19F5"/>
    <w:rsid w:val="00DB6A46"/>
    <w:rsid w:val="00DC1FC2"/>
    <w:rsid w:val="00DC353B"/>
    <w:rsid w:val="00DC382F"/>
    <w:rsid w:val="00DC3A25"/>
    <w:rsid w:val="00DD0E5E"/>
    <w:rsid w:val="00DD69C6"/>
    <w:rsid w:val="00DD71D1"/>
    <w:rsid w:val="00DE0238"/>
    <w:rsid w:val="00DE24A5"/>
    <w:rsid w:val="00DE2BF8"/>
    <w:rsid w:val="00DE371B"/>
    <w:rsid w:val="00DE43D6"/>
    <w:rsid w:val="00DF3AE6"/>
    <w:rsid w:val="00DF5CC7"/>
    <w:rsid w:val="00E005C6"/>
    <w:rsid w:val="00E00EC4"/>
    <w:rsid w:val="00E0118D"/>
    <w:rsid w:val="00E011B6"/>
    <w:rsid w:val="00E025F9"/>
    <w:rsid w:val="00E06E53"/>
    <w:rsid w:val="00E07082"/>
    <w:rsid w:val="00E118AE"/>
    <w:rsid w:val="00E14595"/>
    <w:rsid w:val="00E16D22"/>
    <w:rsid w:val="00E220B4"/>
    <w:rsid w:val="00E2278E"/>
    <w:rsid w:val="00E2646A"/>
    <w:rsid w:val="00E3381B"/>
    <w:rsid w:val="00E34589"/>
    <w:rsid w:val="00E352BF"/>
    <w:rsid w:val="00E373B5"/>
    <w:rsid w:val="00E468C5"/>
    <w:rsid w:val="00E46D5E"/>
    <w:rsid w:val="00E541BA"/>
    <w:rsid w:val="00E60DBD"/>
    <w:rsid w:val="00E639A2"/>
    <w:rsid w:val="00E676E9"/>
    <w:rsid w:val="00E705D7"/>
    <w:rsid w:val="00E7363F"/>
    <w:rsid w:val="00E73A4E"/>
    <w:rsid w:val="00E74343"/>
    <w:rsid w:val="00E84701"/>
    <w:rsid w:val="00E907C6"/>
    <w:rsid w:val="00E94829"/>
    <w:rsid w:val="00E96C54"/>
    <w:rsid w:val="00E97E0D"/>
    <w:rsid w:val="00EA5002"/>
    <w:rsid w:val="00EA6C56"/>
    <w:rsid w:val="00EB2C62"/>
    <w:rsid w:val="00EB4452"/>
    <w:rsid w:val="00EB4A3B"/>
    <w:rsid w:val="00EB501D"/>
    <w:rsid w:val="00EC4E00"/>
    <w:rsid w:val="00ED4244"/>
    <w:rsid w:val="00ED564D"/>
    <w:rsid w:val="00EE0313"/>
    <w:rsid w:val="00EE0986"/>
    <w:rsid w:val="00EE36DF"/>
    <w:rsid w:val="00EE4D17"/>
    <w:rsid w:val="00EF29D8"/>
    <w:rsid w:val="00EF4FAC"/>
    <w:rsid w:val="00EF7423"/>
    <w:rsid w:val="00F0133C"/>
    <w:rsid w:val="00F1275A"/>
    <w:rsid w:val="00F25859"/>
    <w:rsid w:val="00F32E5C"/>
    <w:rsid w:val="00F358B8"/>
    <w:rsid w:val="00F36256"/>
    <w:rsid w:val="00F375E4"/>
    <w:rsid w:val="00F4245C"/>
    <w:rsid w:val="00F523DC"/>
    <w:rsid w:val="00F543C0"/>
    <w:rsid w:val="00F6258E"/>
    <w:rsid w:val="00F67E0C"/>
    <w:rsid w:val="00F72F14"/>
    <w:rsid w:val="00F74DAE"/>
    <w:rsid w:val="00F75085"/>
    <w:rsid w:val="00F76154"/>
    <w:rsid w:val="00F76F5E"/>
    <w:rsid w:val="00F774EB"/>
    <w:rsid w:val="00F8175F"/>
    <w:rsid w:val="00F82F39"/>
    <w:rsid w:val="00F934F1"/>
    <w:rsid w:val="00F95FBC"/>
    <w:rsid w:val="00F9679C"/>
    <w:rsid w:val="00FA00E3"/>
    <w:rsid w:val="00FA5A2B"/>
    <w:rsid w:val="00FA72A2"/>
    <w:rsid w:val="00FB666C"/>
    <w:rsid w:val="00FC0667"/>
    <w:rsid w:val="00FC5797"/>
    <w:rsid w:val="00FC7592"/>
    <w:rsid w:val="00FD1936"/>
    <w:rsid w:val="00FD2441"/>
    <w:rsid w:val="00FD336D"/>
    <w:rsid w:val="00FD4EF5"/>
    <w:rsid w:val="00FD6607"/>
    <w:rsid w:val="00FD7E80"/>
    <w:rsid w:val="00FE2D53"/>
    <w:rsid w:val="00FE69F9"/>
    <w:rsid w:val="00FF26B5"/>
    <w:rsid w:val="00FF6831"/>
    <w:rsid w:val="00FF7036"/>
    <w:rsid w:val="00FF7469"/>
    <w:rsid w:val="00FF7E42"/>
    <w:rsid w:val="00FF7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5DE8B-843E-4357-BEB8-DF92E1C5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D3"/>
    <w:pPr>
      <w:spacing w:after="0" w:line="240" w:lineRule="auto"/>
    </w:pPr>
    <w:rPr>
      <w:lang w:val="sv-SE"/>
    </w:rPr>
  </w:style>
  <w:style w:type="paragraph" w:styleId="Rubrik1">
    <w:name w:val="heading 1"/>
    <w:basedOn w:val="Normal"/>
    <w:next w:val="Normal"/>
    <w:link w:val="Rubrik1Char"/>
    <w:uiPriority w:val="9"/>
    <w:qFormat/>
    <w:rsid w:val="00310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128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16E67"/>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07E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128D3"/>
    <w:rPr>
      <w:rFonts w:asciiTheme="majorHAnsi" w:eastAsiaTheme="majorEastAsia" w:hAnsiTheme="majorHAnsi" w:cstheme="majorBidi"/>
      <w:b/>
      <w:bCs/>
      <w:color w:val="4F81BD" w:themeColor="accent1"/>
      <w:sz w:val="26"/>
      <w:szCs w:val="26"/>
      <w:lang w:val="sv-SE"/>
    </w:rPr>
  </w:style>
  <w:style w:type="paragraph" w:styleId="Liststycke">
    <w:name w:val="List Paragraph"/>
    <w:basedOn w:val="Normal"/>
    <w:link w:val="ListstyckeChar"/>
    <w:uiPriority w:val="34"/>
    <w:qFormat/>
    <w:rsid w:val="003128D3"/>
    <w:pPr>
      <w:spacing w:after="120" w:line="260" w:lineRule="atLeast"/>
      <w:ind w:left="720"/>
      <w:contextualSpacing/>
    </w:pPr>
    <w:rPr>
      <w:rFonts w:ascii="Book Antiqua" w:eastAsiaTheme="minorEastAsia" w:hAnsi="Book Antiqua"/>
    </w:rPr>
  </w:style>
  <w:style w:type="character" w:styleId="Kommentarsreferens">
    <w:name w:val="annotation reference"/>
    <w:basedOn w:val="Standardstycketeckensnitt"/>
    <w:uiPriority w:val="99"/>
    <w:semiHidden/>
    <w:unhideWhenUsed/>
    <w:rsid w:val="00E96C54"/>
    <w:rPr>
      <w:sz w:val="16"/>
      <w:szCs w:val="16"/>
    </w:rPr>
  </w:style>
  <w:style w:type="paragraph" w:styleId="Kommentarer">
    <w:name w:val="annotation text"/>
    <w:basedOn w:val="Normal"/>
    <w:link w:val="KommentarerChar"/>
    <w:uiPriority w:val="99"/>
    <w:semiHidden/>
    <w:unhideWhenUsed/>
    <w:rsid w:val="00E96C54"/>
    <w:pPr>
      <w:spacing w:after="200"/>
    </w:pPr>
    <w:rPr>
      <w:sz w:val="20"/>
      <w:szCs w:val="20"/>
      <w:lang w:val="it-IT"/>
    </w:rPr>
  </w:style>
  <w:style w:type="character" w:customStyle="1" w:styleId="KommentarerChar">
    <w:name w:val="Kommentarer Char"/>
    <w:basedOn w:val="Standardstycketeckensnitt"/>
    <w:link w:val="Kommentarer"/>
    <w:uiPriority w:val="99"/>
    <w:semiHidden/>
    <w:rsid w:val="00E96C54"/>
    <w:rPr>
      <w:sz w:val="20"/>
      <w:szCs w:val="20"/>
    </w:rPr>
  </w:style>
  <w:style w:type="paragraph" w:styleId="Fotnotstext">
    <w:name w:val="footnote text"/>
    <w:basedOn w:val="Normal"/>
    <w:link w:val="FotnotstextChar"/>
    <w:uiPriority w:val="99"/>
    <w:unhideWhenUsed/>
    <w:rsid w:val="00E96C54"/>
    <w:rPr>
      <w:sz w:val="20"/>
      <w:szCs w:val="20"/>
      <w:lang w:val="it-IT"/>
    </w:rPr>
  </w:style>
  <w:style w:type="character" w:customStyle="1" w:styleId="FotnotstextChar">
    <w:name w:val="Fotnotstext Char"/>
    <w:basedOn w:val="Standardstycketeckensnitt"/>
    <w:link w:val="Fotnotstext"/>
    <w:uiPriority w:val="99"/>
    <w:rsid w:val="00E96C54"/>
    <w:rPr>
      <w:sz w:val="20"/>
      <w:szCs w:val="20"/>
    </w:rPr>
  </w:style>
  <w:style w:type="character" w:styleId="Fotnotsreferens">
    <w:name w:val="footnote reference"/>
    <w:basedOn w:val="Standardstycketeckensnitt"/>
    <w:uiPriority w:val="99"/>
    <w:unhideWhenUsed/>
    <w:rsid w:val="00E96C54"/>
    <w:rPr>
      <w:vertAlign w:val="superscript"/>
    </w:rPr>
  </w:style>
  <w:style w:type="paragraph" w:styleId="Ballongtext">
    <w:name w:val="Balloon Text"/>
    <w:basedOn w:val="Normal"/>
    <w:link w:val="BallongtextChar"/>
    <w:uiPriority w:val="99"/>
    <w:semiHidden/>
    <w:unhideWhenUsed/>
    <w:rsid w:val="00E96C54"/>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C54"/>
    <w:rPr>
      <w:rFonts w:ascii="Tahoma" w:hAnsi="Tahoma" w:cs="Tahoma"/>
      <w:sz w:val="16"/>
      <w:szCs w:val="16"/>
      <w:lang w:val="sv-SE"/>
    </w:rPr>
  </w:style>
  <w:style w:type="character" w:styleId="Hyperlnk">
    <w:name w:val="Hyperlink"/>
    <w:basedOn w:val="Standardstycketeckensnitt"/>
    <w:uiPriority w:val="99"/>
    <w:unhideWhenUsed/>
    <w:rsid w:val="00873F9B"/>
    <w:rPr>
      <w:color w:val="0000FF" w:themeColor="hyperlink"/>
      <w:u w:val="single"/>
    </w:rPr>
  </w:style>
  <w:style w:type="character" w:customStyle="1" w:styleId="ListstyckeChar">
    <w:name w:val="Liststycke Char"/>
    <w:basedOn w:val="Standardstycketeckensnitt"/>
    <w:link w:val="Liststycke"/>
    <w:uiPriority w:val="34"/>
    <w:rsid w:val="00BE5148"/>
    <w:rPr>
      <w:rFonts w:ascii="Book Antiqua" w:eastAsiaTheme="minorEastAsia" w:hAnsi="Book Antiqua"/>
      <w:lang w:val="sv-SE"/>
    </w:rPr>
  </w:style>
  <w:style w:type="paragraph" w:customStyle="1" w:styleId="Testonotaapidipagina1">
    <w:name w:val="Testo nota a piè di pagina1"/>
    <w:basedOn w:val="Normal"/>
    <w:next w:val="Fotnotstext"/>
    <w:uiPriority w:val="99"/>
    <w:semiHidden/>
    <w:unhideWhenUsed/>
    <w:rsid w:val="0046138A"/>
    <w:rPr>
      <w:rFonts w:ascii="Calibri" w:eastAsia="Calibri" w:hAnsi="Calibri" w:cs="Times New Roman"/>
      <w:sz w:val="20"/>
      <w:szCs w:val="20"/>
      <w:lang w:val="it-IT"/>
    </w:rPr>
  </w:style>
  <w:style w:type="paragraph" w:styleId="Beskrivning">
    <w:name w:val="caption"/>
    <w:basedOn w:val="Normal"/>
    <w:next w:val="Normal"/>
    <w:qFormat/>
    <w:rsid w:val="0046138A"/>
    <w:rPr>
      <w:rFonts w:ascii="Times New Roman" w:eastAsia="Times New Roman" w:hAnsi="Times New Roman" w:cs="Times New Roman"/>
      <w:b/>
      <w:bCs/>
      <w:sz w:val="20"/>
      <w:szCs w:val="20"/>
      <w:lang w:val="it-IT" w:eastAsia="it-IT"/>
    </w:rPr>
  </w:style>
  <w:style w:type="character" w:customStyle="1" w:styleId="Rubrik3Char">
    <w:name w:val="Rubrik 3 Char"/>
    <w:basedOn w:val="Standardstycketeckensnitt"/>
    <w:link w:val="Rubrik3"/>
    <w:uiPriority w:val="9"/>
    <w:rsid w:val="00816E67"/>
    <w:rPr>
      <w:rFonts w:asciiTheme="majorHAnsi" w:eastAsiaTheme="majorEastAsia" w:hAnsiTheme="majorHAnsi" w:cstheme="majorBidi"/>
      <w:b/>
      <w:bCs/>
      <w:color w:val="4F81BD" w:themeColor="accent1"/>
      <w:lang w:val="sv-SE"/>
    </w:rPr>
  </w:style>
  <w:style w:type="character" w:customStyle="1" w:styleId="Rubrik1Char">
    <w:name w:val="Rubrik 1 Char"/>
    <w:basedOn w:val="Standardstycketeckensnitt"/>
    <w:link w:val="Rubrik1"/>
    <w:uiPriority w:val="9"/>
    <w:rsid w:val="00310079"/>
    <w:rPr>
      <w:rFonts w:asciiTheme="majorHAnsi" w:eastAsiaTheme="majorEastAsia" w:hAnsiTheme="majorHAnsi" w:cstheme="majorBidi"/>
      <w:b/>
      <w:bCs/>
      <w:color w:val="365F91" w:themeColor="accent1" w:themeShade="BF"/>
      <w:sz w:val="28"/>
      <w:szCs w:val="28"/>
      <w:lang w:val="sv-SE"/>
    </w:rPr>
  </w:style>
  <w:style w:type="paragraph" w:styleId="Innehllsfrteckningsrubrik">
    <w:name w:val="TOC Heading"/>
    <w:basedOn w:val="Rubrik1"/>
    <w:next w:val="Normal"/>
    <w:uiPriority w:val="39"/>
    <w:semiHidden/>
    <w:unhideWhenUsed/>
    <w:qFormat/>
    <w:rsid w:val="00310079"/>
    <w:pPr>
      <w:spacing w:line="276" w:lineRule="auto"/>
      <w:outlineLvl w:val="9"/>
    </w:pPr>
    <w:rPr>
      <w:lang w:val="it-IT" w:eastAsia="it-IT"/>
    </w:rPr>
  </w:style>
  <w:style w:type="paragraph" w:styleId="Innehll2">
    <w:name w:val="toc 2"/>
    <w:basedOn w:val="Normal"/>
    <w:next w:val="Normal"/>
    <w:autoRedefine/>
    <w:uiPriority w:val="39"/>
    <w:unhideWhenUsed/>
    <w:rsid w:val="00C34381"/>
    <w:pPr>
      <w:tabs>
        <w:tab w:val="left" w:pos="660"/>
        <w:tab w:val="right" w:leader="dot" w:pos="9628"/>
      </w:tabs>
      <w:spacing w:before="120"/>
      <w:ind w:left="220"/>
    </w:pPr>
    <w:rPr>
      <w:rFonts w:cstheme="minorHAnsi"/>
      <w:iCs/>
      <w:noProof/>
      <w:sz w:val="20"/>
      <w:szCs w:val="20"/>
      <w:lang w:val="en-US"/>
    </w:rPr>
  </w:style>
  <w:style w:type="paragraph" w:styleId="Innehll3">
    <w:name w:val="toc 3"/>
    <w:basedOn w:val="Normal"/>
    <w:next w:val="Normal"/>
    <w:autoRedefine/>
    <w:uiPriority w:val="39"/>
    <w:unhideWhenUsed/>
    <w:rsid w:val="00310079"/>
    <w:pPr>
      <w:ind w:left="440"/>
    </w:pPr>
    <w:rPr>
      <w:sz w:val="20"/>
      <w:szCs w:val="20"/>
    </w:rPr>
  </w:style>
  <w:style w:type="character" w:styleId="AnvndHyperlnk">
    <w:name w:val="FollowedHyperlink"/>
    <w:basedOn w:val="Standardstycketeckensnitt"/>
    <w:uiPriority w:val="99"/>
    <w:semiHidden/>
    <w:unhideWhenUsed/>
    <w:rsid w:val="00335AA1"/>
    <w:rPr>
      <w:color w:val="800080" w:themeColor="followedHyperlink"/>
      <w:u w:val="single"/>
    </w:rPr>
  </w:style>
  <w:style w:type="character" w:customStyle="1" w:styleId="Rubrik4Char">
    <w:name w:val="Rubrik 4 Char"/>
    <w:basedOn w:val="Standardstycketeckensnitt"/>
    <w:link w:val="Rubrik4"/>
    <w:uiPriority w:val="9"/>
    <w:rsid w:val="00107EC4"/>
    <w:rPr>
      <w:rFonts w:asciiTheme="majorHAnsi" w:eastAsiaTheme="majorEastAsia" w:hAnsiTheme="majorHAnsi" w:cstheme="majorBidi"/>
      <w:b/>
      <w:bCs/>
      <w:i/>
      <w:iCs/>
      <w:color w:val="4F81BD" w:themeColor="accent1"/>
      <w:lang w:val="sv-SE"/>
    </w:rPr>
  </w:style>
  <w:style w:type="paragraph" w:styleId="Kommentarsmne">
    <w:name w:val="annotation subject"/>
    <w:basedOn w:val="Kommentarer"/>
    <w:next w:val="Kommentarer"/>
    <w:link w:val="KommentarsmneChar"/>
    <w:uiPriority w:val="99"/>
    <w:semiHidden/>
    <w:unhideWhenUsed/>
    <w:rsid w:val="008E74A2"/>
    <w:pPr>
      <w:spacing w:after="0"/>
    </w:pPr>
    <w:rPr>
      <w:b/>
      <w:bCs/>
      <w:lang w:val="sv-SE"/>
    </w:rPr>
  </w:style>
  <w:style w:type="character" w:customStyle="1" w:styleId="KommentarsmneChar">
    <w:name w:val="Kommentarsämne Char"/>
    <w:basedOn w:val="KommentarerChar"/>
    <w:link w:val="Kommentarsmne"/>
    <w:uiPriority w:val="99"/>
    <w:semiHidden/>
    <w:rsid w:val="008E74A2"/>
    <w:rPr>
      <w:b/>
      <w:bCs/>
      <w:sz w:val="20"/>
      <w:szCs w:val="20"/>
      <w:lang w:val="sv-SE"/>
    </w:rPr>
  </w:style>
  <w:style w:type="paragraph" w:styleId="Innehll1">
    <w:name w:val="toc 1"/>
    <w:basedOn w:val="Normal"/>
    <w:next w:val="Normal"/>
    <w:autoRedefine/>
    <w:uiPriority w:val="39"/>
    <w:unhideWhenUsed/>
    <w:rsid w:val="00C34381"/>
    <w:pPr>
      <w:tabs>
        <w:tab w:val="right" w:leader="dot" w:pos="9628"/>
      </w:tabs>
      <w:spacing w:before="240" w:after="120"/>
    </w:pPr>
    <w:rPr>
      <w:b/>
      <w:bCs/>
      <w:noProof/>
      <w:sz w:val="20"/>
      <w:szCs w:val="20"/>
      <w:lang w:val="en-GB"/>
    </w:rPr>
  </w:style>
  <w:style w:type="paragraph" w:styleId="Sidhuvud">
    <w:name w:val="header"/>
    <w:basedOn w:val="Normal"/>
    <w:link w:val="SidhuvudChar"/>
    <w:uiPriority w:val="99"/>
    <w:unhideWhenUsed/>
    <w:rsid w:val="003C3350"/>
    <w:pPr>
      <w:tabs>
        <w:tab w:val="center" w:pos="4819"/>
        <w:tab w:val="right" w:pos="9638"/>
      </w:tabs>
    </w:pPr>
  </w:style>
  <w:style w:type="character" w:customStyle="1" w:styleId="SidhuvudChar">
    <w:name w:val="Sidhuvud Char"/>
    <w:basedOn w:val="Standardstycketeckensnitt"/>
    <w:link w:val="Sidhuvud"/>
    <w:uiPriority w:val="99"/>
    <w:rsid w:val="003C3350"/>
    <w:rPr>
      <w:lang w:val="sv-SE"/>
    </w:rPr>
  </w:style>
  <w:style w:type="paragraph" w:styleId="Sidfot">
    <w:name w:val="footer"/>
    <w:basedOn w:val="Normal"/>
    <w:link w:val="SidfotChar"/>
    <w:uiPriority w:val="99"/>
    <w:unhideWhenUsed/>
    <w:rsid w:val="003C3350"/>
    <w:pPr>
      <w:tabs>
        <w:tab w:val="center" w:pos="4819"/>
        <w:tab w:val="right" w:pos="9638"/>
      </w:tabs>
    </w:pPr>
  </w:style>
  <w:style w:type="character" w:customStyle="1" w:styleId="SidfotChar">
    <w:name w:val="Sidfot Char"/>
    <w:basedOn w:val="Standardstycketeckensnitt"/>
    <w:link w:val="Sidfot"/>
    <w:uiPriority w:val="99"/>
    <w:rsid w:val="003C3350"/>
    <w:rPr>
      <w:lang w:val="sv-SE"/>
    </w:rPr>
  </w:style>
  <w:style w:type="paragraph" w:customStyle="1" w:styleId="Default">
    <w:name w:val="Default"/>
    <w:rsid w:val="000123AF"/>
    <w:pPr>
      <w:autoSpaceDE w:val="0"/>
      <w:autoSpaceDN w:val="0"/>
      <w:adjustRightInd w:val="0"/>
      <w:spacing w:after="0" w:line="240" w:lineRule="auto"/>
    </w:pPr>
    <w:rPr>
      <w:rFonts w:ascii="Arial" w:hAnsi="Arial" w:cs="Arial"/>
      <w:color w:val="000000"/>
      <w:sz w:val="24"/>
      <w:szCs w:val="24"/>
    </w:rPr>
  </w:style>
  <w:style w:type="paragraph" w:styleId="Innehll4">
    <w:name w:val="toc 4"/>
    <w:basedOn w:val="Normal"/>
    <w:next w:val="Normal"/>
    <w:autoRedefine/>
    <w:uiPriority w:val="39"/>
    <w:unhideWhenUsed/>
    <w:rsid w:val="007E3E11"/>
    <w:pPr>
      <w:ind w:left="660"/>
    </w:pPr>
    <w:rPr>
      <w:sz w:val="20"/>
      <w:szCs w:val="20"/>
    </w:rPr>
  </w:style>
  <w:style w:type="paragraph" w:styleId="Innehll5">
    <w:name w:val="toc 5"/>
    <w:basedOn w:val="Normal"/>
    <w:next w:val="Normal"/>
    <w:autoRedefine/>
    <w:uiPriority w:val="39"/>
    <w:unhideWhenUsed/>
    <w:rsid w:val="007E3E11"/>
    <w:pPr>
      <w:ind w:left="880"/>
    </w:pPr>
    <w:rPr>
      <w:sz w:val="20"/>
      <w:szCs w:val="20"/>
    </w:rPr>
  </w:style>
  <w:style w:type="paragraph" w:styleId="Innehll6">
    <w:name w:val="toc 6"/>
    <w:basedOn w:val="Normal"/>
    <w:next w:val="Normal"/>
    <w:autoRedefine/>
    <w:uiPriority w:val="39"/>
    <w:unhideWhenUsed/>
    <w:rsid w:val="007E3E11"/>
    <w:pPr>
      <w:ind w:left="1100"/>
    </w:pPr>
    <w:rPr>
      <w:sz w:val="20"/>
      <w:szCs w:val="20"/>
    </w:rPr>
  </w:style>
  <w:style w:type="paragraph" w:styleId="Innehll7">
    <w:name w:val="toc 7"/>
    <w:basedOn w:val="Normal"/>
    <w:next w:val="Normal"/>
    <w:autoRedefine/>
    <w:uiPriority w:val="39"/>
    <w:unhideWhenUsed/>
    <w:rsid w:val="007E3E11"/>
    <w:pPr>
      <w:ind w:left="1320"/>
    </w:pPr>
    <w:rPr>
      <w:sz w:val="20"/>
      <w:szCs w:val="20"/>
    </w:rPr>
  </w:style>
  <w:style w:type="paragraph" w:styleId="Innehll8">
    <w:name w:val="toc 8"/>
    <w:basedOn w:val="Normal"/>
    <w:next w:val="Normal"/>
    <w:autoRedefine/>
    <w:uiPriority w:val="39"/>
    <w:unhideWhenUsed/>
    <w:rsid w:val="007E3E11"/>
    <w:pPr>
      <w:ind w:left="1540"/>
    </w:pPr>
    <w:rPr>
      <w:sz w:val="20"/>
      <w:szCs w:val="20"/>
    </w:rPr>
  </w:style>
  <w:style w:type="paragraph" w:styleId="Innehll9">
    <w:name w:val="toc 9"/>
    <w:basedOn w:val="Normal"/>
    <w:next w:val="Normal"/>
    <w:autoRedefine/>
    <w:uiPriority w:val="39"/>
    <w:unhideWhenUsed/>
    <w:rsid w:val="007E3E11"/>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8049">
      <w:bodyDiv w:val="1"/>
      <w:marLeft w:val="0"/>
      <w:marRight w:val="0"/>
      <w:marTop w:val="0"/>
      <w:marBottom w:val="0"/>
      <w:divBdr>
        <w:top w:val="none" w:sz="0" w:space="0" w:color="auto"/>
        <w:left w:val="none" w:sz="0" w:space="0" w:color="auto"/>
        <w:bottom w:val="none" w:sz="0" w:space="0" w:color="auto"/>
        <w:right w:val="none" w:sz="0" w:space="0" w:color="auto"/>
      </w:divBdr>
    </w:div>
    <w:div w:id="610404540">
      <w:bodyDiv w:val="1"/>
      <w:marLeft w:val="0"/>
      <w:marRight w:val="0"/>
      <w:marTop w:val="0"/>
      <w:marBottom w:val="0"/>
      <w:divBdr>
        <w:top w:val="none" w:sz="0" w:space="0" w:color="auto"/>
        <w:left w:val="none" w:sz="0" w:space="0" w:color="auto"/>
        <w:bottom w:val="none" w:sz="0" w:space="0" w:color="auto"/>
        <w:right w:val="none" w:sz="0" w:space="0" w:color="auto"/>
      </w:divBdr>
    </w:div>
    <w:div w:id="1566138342">
      <w:bodyDiv w:val="1"/>
      <w:marLeft w:val="0"/>
      <w:marRight w:val="0"/>
      <w:marTop w:val="0"/>
      <w:marBottom w:val="0"/>
      <w:divBdr>
        <w:top w:val="none" w:sz="0" w:space="0" w:color="auto"/>
        <w:left w:val="none" w:sz="0" w:space="0" w:color="auto"/>
        <w:bottom w:val="none" w:sz="0" w:space="0" w:color="auto"/>
        <w:right w:val="none" w:sz="0" w:space="0" w:color="auto"/>
      </w:divBdr>
      <w:divsChild>
        <w:div w:id="1128737896">
          <w:marLeft w:val="0"/>
          <w:marRight w:val="0"/>
          <w:marTop w:val="0"/>
          <w:marBottom w:val="0"/>
          <w:divBdr>
            <w:top w:val="none" w:sz="0" w:space="0" w:color="auto"/>
            <w:left w:val="none" w:sz="0" w:space="0" w:color="auto"/>
            <w:bottom w:val="none" w:sz="0" w:space="0" w:color="auto"/>
            <w:right w:val="none" w:sz="0" w:space="0" w:color="auto"/>
          </w:divBdr>
        </w:div>
        <w:div w:id="592587978">
          <w:marLeft w:val="0"/>
          <w:marRight w:val="0"/>
          <w:marTop w:val="0"/>
          <w:marBottom w:val="0"/>
          <w:divBdr>
            <w:top w:val="none" w:sz="0" w:space="0" w:color="auto"/>
            <w:left w:val="none" w:sz="0" w:space="0" w:color="auto"/>
            <w:bottom w:val="none" w:sz="0" w:space="0" w:color="auto"/>
            <w:right w:val="none" w:sz="0" w:space="0" w:color="auto"/>
          </w:divBdr>
        </w:div>
      </w:divsChild>
    </w:div>
    <w:div w:id="18362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atistics.unwto.org/committeestsa_17thmeeting" TargetMode="External"/><Relationship Id="rId26" Type="http://schemas.openxmlformats.org/officeDocument/2006/relationships/hyperlink" Target="http://cf.cdn.unwto.org/sites/all/files/docpdf/mstconceptnote17032016.pdf" TargetMode="External"/><Relationship Id="rId3" Type="http://schemas.openxmlformats.org/officeDocument/2006/relationships/styles" Target="styles.xml"/><Relationship Id="rId21" Type="http://schemas.openxmlformats.org/officeDocument/2006/relationships/hyperlink" Target="http://dati.istat.it/Index.aspx?lang=en&amp;SubSessionId=7d9da96e-e22f-45ed-a07a-50ac25b25d4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yperlink" Target="https://unstats.un.org/unsd/publication/Seriesf/SeriesF_80rev1e.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stat.it/en/archive/20%2081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f.cdn.unwto.org/sites/all/files/pdf/18thmeeting_item_4.3.1.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cf.cdn.unwto.org/sites/all/files/docpdf/mstpilotstudyitaly.pdf" TargetMode="External"/><Relationship Id="rId28" Type="http://schemas.openxmlformats.org/officeDocument/2006/relationships/hyperlink" Target="http://cf.cdn.unwto.org/sites/all/files/pdf/sf-mst_feb.pdf" TargetMode="External"/><Relationship Id="rId10" Type="http://schemas.openxmlformats.org/officeDocument/2006/relationships/footer" Target="footer1.xml"/><Relationship Id="rId19" Type="http://schemas.openxmlformats.org/officeDocument/2006/relationships/hyperlink" Target="https://www.istat.it/it/archivio/20745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dati.istat.it/Index.aspx?lang=en&amp;SubSessionId=726e7fe2-422e-4ea7-9386-28bd227346c9" TargetMode="External"/><Relationship Id="rId27" Type="http://schemas.openxmlformats.org/officeDocument/2006/relationships/hyperlink" Target="http://cf.cdn.unwto.org/sites/all/files/docpdf/tsaseeatechnote.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tat.it/en/archive/208130" TargetMode="External"/><Relationship Id="rId2" Type="http://schemas.openxmlformats.org/officeDocument/2006/relationships/hyperlink" Target="https://www.istat.it/it/archivio/207454" TargetMode="External"/><Relationship Id="rId1" Type="http://schemas.openxmlformats.org/officeDocument/2006/relationships/hyperlink" Target="http://statistics.unwto.org/studies_experience" TargetMode="External"/><Relationship Id="rId5" Type="http://schemas.openxmlformats.org/officeDocument/2006/relationships/hyperlink" Target="http://dati.istat.it/Index.aspx?lang=en&amp;SubSessionId=726e7fe2-422e-4ea7-9386-28bd227346c9" TargetMode="External"/><Relationship Id="rId4" Type="http://schemas.openxmlformats.org/officeDocument/2006/relationships/hyperlink" Target="http://dati.istat.it/Index.aspx?lang=en&amp;SubSessionId=7d9da96e-e22f-45ed-a07a-50ac25b25d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C445-031B-4688-A1C1-8DABEEE9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6286</Words>
  <Characters>33316</Characters>
  <Application>Microsoft Office Word</Application>
  <DocSecurity>4</DocSecurity>
  <Lines>277</Lines>
  <Paragraphs>79</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Steinbach Nancy RM/MN-S</cp:lastModifiedBy>
  <cp:revision>2</cp:revision>
  <dcterms:created xsi:type="dcterms:W3CDTF">2018-09-19T14:14:00Z</dcterms:created>
  <dcterms:modified xsi:type="dcterms:W3CDTF">2018-09-19T14:14:00Z</dcterms:modified>
</cp:coreProperties>
</file>