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6068C" w:rsidR="0089620C" w:rsidP="0089620C" w:rsidRDefault="0089620C" w14:paraId="2340EBAE" w14:textId="77777777">
      <w:pPr>
        <w:spacing w:after="0" w:line="240" w:lineRule="auto"/>
        <w:textAlignment w:val="baseline"/>
        <w:rPr>
          <w:rFonts w:ascii="Segoe UI" w:hAnsi="Segoe UI" w:eastAsia="Times New Roman" w:cs="Segoe UI"/>
          <w:sz w:val="18"/>
          <w:szCs w:val="18"/>
          <w:lang w:val="en-US"/>
        </w:rPr>
      </w:pPr>
      <w:r>
        <w:rPr>
          <w:rFonts w:ascii="Times New Roman" w:hAnsi="Times New Roman" w:eastAsia="Times New Roman" w:cs="Times New Roman"/>
          <w:b/>
          <w:bCs/>
          <w:sz w:val="24"/>
          <w:szCs w:val="24"/>
        </w:rPr>
        <w:t>Eighteenth</w:t>
      </w:r>
      <w:r w:rsidRPr="0066068C">
        <w:rPr>
          <w:rFonts w:ascii="Times New Roman" w:hAnsi="Times New Roman" w:eastAsia="Times New Roman" w:cs="Times New Roman"/>
          <w:b/>
          <w:bCs/>
          <w:sz w:val="24"/>
          <w:szCs w:val="24"/>
        </w:rPr>
        <w:t xml:space="preserve"> Meeting of the UN Committee of Experts on</w:t>
      </w:r>
      <w:r w:rsidRPr="0066068C">
        <w:rPr>
          <w:rFonts w:ascii="Times New Roman" w:hAnsi="Times New Roman" w:eastAsia="Times New Roman" w:cs="Times New Roman"/>
          <w:sz w:val="24"/>
          <w:szCs w:val="24"/>
          <w:lang w:val="en-US"/>
        </w:rPr>
        <w:t> </w:t>
      </w:r>
    </w:p>
    <w:p w:rsidRPr="0066068C" w:rsidR="0089620C" w:rsidP="0089620C" w:rsidRDefault="0089620C" w14:paraId="0C9E4203"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b/>
          <w:bCs/>
          <w:sz w:val="24"/>
          <w:szCs w:val="24"/>
        </w:rPr>
        <w:t>Environmental-Economic Accounting</w:t>
      </w:r>
      <w:r w:rsidRPr="0066068C">
        <w:rPr>
          <w:rFonts w:ascii="Times New Roman" w:hAnsi="Times New Roman" w:eastAsia="Times New Roman" w:cs="Times New Roman"/>
          <w:sz w:val="24"/>
          <w:szCs w:val="24"/>
          <w:lang w:val="en-US"/>
        </w:rPr>
        <w:t> </w:t>
      </w:r>
    </w:p>
    <w:p w:rsidRPr="0066068C" w:rsidR="0089620C" w:rsidP="0089620C" w:rsidRDefault="0089620C" w14:paraId="2E5731BA"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b/>
          <w:bCs/>
          <w:sz w:val="24"/>
          <w:szCs w:val="24"/>
        </w:rPr>
        <w:t>New York, 2</w:t>
      </w:r>
      <w:r>
        <w:rPr>
          <w:rFonts w:ascii="Times New Roman" w:hAnsi="Times New Roman" w:eastAsia="Times New Roman" w:cs="Times New Roman"/>
          <w:b/>
          <w:bCs/>
          <w:sz w:val="24"/>
          <w:szCs w:val="24"/>
        </w:rPr>
        <w:t>0</w:t>
      </w:r>
      <w:r w:rsidRPr="0066068C">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rPr>
        <w:t>1</w:t>
      </w:r>
      <w:r w:rsidRPr="0066068C">
        <w:rPr>
          <w:rFonts w:ascii="Times New Roman" w:hAnsi="Times New Roman" w:eastAsia="Times New Roman" w:cs="Times New Roman"/>
          <w:b/>
          <w:bCs/>
          <w:sz w:val="24"/>
          <w:szCs w:val="24"/>
        </w:rPr>
        <w:t xml:space="preserve"> June 202</w:t>
      </w:r>
      <w:r>
        <w:rPr>
          <w:rFonts w:ascii="Times New Roman" w:hAnsi="Times New Roman" w:eastAsia="Times New Roman" w:cs="Times New Roman"/>
          <w:b/>
          <w:bCs/>
          <w:sz w:val="24"/>
          <w:szCs w:val="24"/>
        </w:rPr>
        <w:t>3</w:t>
      </w:r>
      <w:r w:rsidRPr="0066068C">
        <w:rPr>
          <w:rFonts w:ascii="Times New Roman" w:hAnsi="Times New Roman" w:eastAsia="Times New Roman" w:cs="Times New Roman"/>
          <w:sz w:val="24"/>
          <w:szCs w:val="24"/>
          <w:lang w:val="en-US"/>
        </w:rPr>
        <w:t> </w:t>
      </w:r>
    </w:p>
    <w:p w:rsidRPr="0066068C" w:rsidR="0089620C" w:rsidP="0089620C" w:rsidRDefault="0089620C" w14:paraId="621B6EBB"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89"/>
        <w:gridCol w:w="2537"/>
      </w:tblGrid>
      <w:tr w:rsidRPr="0066068C" w:rsidR="0089620C" w:rsidTr="006955CB" w14:paraId="16251021" w14:textId="77777777">
        <w:trPr>
          <w:trHeight w:val="1530"/>
        </w:trPr>
        <w:tc>
          <w:tcPr>
            <w:tcW w:w="6600" w:type="dxa"/>
            <w:tcBorders>
              <w:top w:val="nil"/>
              <w:left w:val="nil"/>
              <w:bottom w:val="nil"/>
              <w:right w:val="nil"/>
            </w:tcBorders>
            <w:shd w:val="clear" w:color="auto" w:fill="auto"/>
            <w:hideMark/>
          </w:tcPr>
          <w:p w:rsidRPr="0066068C" w:rsidR="0089620C" w:rsidP="006955CB" w:rsidRDefault="0089620C" w14:paraId="5173E4AF" w14:textId="77777777">
            <w:pPr>
              <w:spacing w:after="0" w:line="240" w:lineRule="auto"/>
              <w:textAlignment w:val="baseline"/>
              <w:rPr>
                <w:rFonts w:ascii="Times New Roman" w:hAnsi="Times New Roman" w:eastAsia="Times New Roman" w:cs="Times New Roman"/>
                <w:sz w:val="24"/>
                <w:szCs w:val="24"/>
                <w:lang w:val="en-US"/>
              </w:rPr>
            </w:pPr>
            <w:r w:rsidRPr="0066068C">
              <w:rPr>
                <w:noProof/>
              </w:rPr>
              <w:drawing>
                <wp:inline distT="0" distB="0" distL="0" distR="0" wp14:anchorId="455F839B" wp14:editId="7C48B050">
                  <wp:extent cx="577516" cy="501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877" cy="516513"/>
                          </a:xfrm>
                          <a:prstGeom prst="rect">
                            <a:avLst/>
                          </a:prstGeom>
                          <a:noFill/>
                          <a:ln>
                            <a:noFill/>
                          </a:ln>
                        </pic:spPr>
                      </pic:pic>
                    </a:graphicData>
                  </a:graphic>
                </wp:inline>
              </w:drawing>
            </w:r>
            <w:r w:rsidRPr="0066068C">
              <w:rPr>
                <w:rFonts w:ascii="Times New Roman" w:hAnsi="Times New Roman" w:eastAsia="Times New Roman" w:cs="Times New Roman"/>
                <w:sz w:val="24"/>
                <w:szCs w:val="24"/>
              </w:rPr>
              <w:t> </w:t>
            </w:r>
            <w:r w:rsidRPr="0066068C">
              <w:rPr>
                <w:rFonts w:ascii="Times New Roman" w:hAnsi="Times New Roman" w:eastAsia="Times New Roman" w:cs="Times New Roman"/>
                <w:b/>
                <w:bCs/>
                <w:sz w:val="24"/>
                <w:szCs w:val="24"/>
              </w:rPr>
              <w:t> </w:t>
            </w:r>
            <w:r w:rsidRPr="0066068C">
              <w:rPr>
                <w:rFonts w:ascii="Times New Roman" w:hAnsi="Times New Roman" w:eastAsia="Times New Roman" w:cs="Times New Roman"/>
                <w:sz w:val="24"/>
                <w:szCs w:val="24"/>
                <w:lang w:val="en-US"/>
              </w:rPr>
              <w:t> </w:t>
            </w:r>
          </w:p>
          <w:p w:rsidRPr="0066068C" w:rsidR="0089620C" w:rsidP="006955CB" w:rsidRDefault="0089620C" w14:paraId="6618E4DD"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rPr>
              <w:t>DEPARTMENT OF ECONOMIC AND SOCIAL AFFAIRS</w:t>
            </w:r>
            <w:r w:rsidRPr="0066068C">
              <w:rPr>
                <w:rFonts w:ascii="Times New Roman" w:hAnsi="Times New Roman" w:eastAsia="Times New Roman" w:cs="Times New Roman"/>
                <w:sz w:val="24"/>
                <w:szCs w:val="24"/>
                <w:lang w:val="en-US"/>
              </w:rPr>
              <w:t> </w:t>
            </w:r>
          </w:p>
          <w:p w:rsidRPr="0066068C" w:rsidR="0089620C" w:rsidP="006955CB" w:rsidRDefault="0089620C" w14:paraId="6410E393"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rPr>
              <w:t>STATISTICS DIVISION</w:t>
            </w:r>
            <w:r w:rsidRPr="0066068C">
              <w:rPr>
                <w:rFonts w:ascii="Times New Roman" w:hAnsi="Times New Roman" w:eastAsia="Times New Roman" w:cs="Times New Roman"/>
                <w:sz w:val="24"/>
                <w:szCs w:val="24"/>
                <w:lang w:val="en-US"/>
              </w:rPr>
              <w:t> </w:t>
            </w:r>
          </w:p>
          <w:p w:rsidRPr="0066068C" w:rsidR="0089620C" w:rsidP="006955CB" w:rsidRDefault="0089620C" w14:paraId="76F770D1"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rPr>
              <w:t>UNITED NATIONS</w:t>
            </w:r>
            <w:r w:rsidRPr="0066068C">
              <w:rPr>
                <w:rFonts w:ascii="Times New Roman" w:hAnsi="Times New Roman" w:eastAsia="Times New Roman" w:cs="Times New Roman"/>
                <w:sz w:val="24"/>
                <w:szCs w:val="24"/>
                <w:lang w:val="en-US"/>
              </w:rPr>
              <w:t> </w:t>
            </w:r>
          </w:p>
        </w:tc>
        <w:tc>
          <w:tcPr>
            <w:tcW w:w="2775" w:type="dxa"/>
            <w:tcBorders>
              <w:top w:val="nil"/>
              <w:left w:val="nil"/>
              <w:bottom w:val="nil"/>
              <w:right w:val="nil"/>
            </w:tcBorders>
            <w:shd w:val="clear" w:color="auto" w:fill="auto"/>
            <w:hideMark/>
          </w:tcPr>
          <w:p w:rsidRPr="0066068C" w:rsidR="0089620C" w:rsidP="006955CB" w:rsidRDefault="0089620C" w14:paraId="0DAFE9C8"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lang w:val="en-US"/>
              </w:rPr>
              <w:t> </w:t>
            </w:r>
          </w:p>
          <w:p w:rsidRPr="0066068C" w:rsidR="0089620C" w:rsidP="006955CB" w:rsidRDefault="0089620C" w14:paraId="30A847D8"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lang w:val="en-US"/>
              </w:rPr>
              <w:t> </w:t>
            </w:r>
          </w:p>
          <w:p w:rsidRPr="0066068C" w:rsidR="0089620C" w:rsidP="006955CB" w:rsidRDefault="0089620C" w14:paraId="42D8E70F"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lang w:val="en-US"/>
              </w:rPr>
              <w:t> </w:t>
            </w:r>
          </w:p>
        </w:tc>
      </w:tr>
      <w:tr w:rsidRPr="0066068C" w:rsidR="0089620C" w:rsidTr="006955CB" w14:paraId="41BAE7B3" w14:textId="77777777">
        <w:trPr>
          <w:trHeight w:val="300"/>
        </w:trPr>
        <w:tc>
          <w:tcPr>
            <w:tcW w:w="9375" w:type="dxa"/>
            <w:gridSpan w:val="2"/>
            <w:tcBorders>
              <w:top w:val="nil"/>
              <w:left w:val="nil"/>
              <w:bottom w:val="nil"/>
              <w:right w:val="nil"/>
            </w:tcBorders>
            <w:shd w:val="clear" w:color="auto" w:fill="auto"/>
            <w:hideMark/>
          </w:tcPr>
          <w:p w:rsidRPr="0066068C" w:rsidR="0089620C" w:rsidP="006955CB" w:rsidRDefault="0089620C" w14:paraId="26E8881F" w14:textId="77777777">
            <w:pPr>
              <w:spacing w:after="0" w:line="240" w:lineRule="auto"/>
              <w:textAlignment w:val="baseline"/>
              <w:rPr>
                <w:rFonts w:ascii="Times New Roman" w:hAnsi="Times New Roman" w:eastAsia="Times New Roman" w:cs="Times New Roman"/>
                <w:sz w:val="24"/>
                <w:szCs w:val="24"/>
                <w:lang w:val="en-US"/>
              </w:rPr>
            </w:pPr>
            <w:r w:rsidRPr="0066068C">
              <w:rPr>
                <w:rFonts w:ascii="Times New Roman" w:hAnsi="Times New Roman" w:eastAsia="Times New Roman" w:cs="Times New Roman"/>
                <w:sz w:val="24"/>
                <w:szCs w:val="24"/>
              </w:rPr>
              <w:t>____________________________________________________________________________</w:t>
            </w:r>
            <w:r w:rsidRPr="0066068C">
              <w:rPr>
                <w:rFonts w:ascii="Times New Roman" w:hAnsi="Times New Roman" w:eastAsia="Times New Roman" w:cs="Times New Roman"/>
                <w:sz w:val="24"/>
                <w:szCs w:val="24"/>
                <w:lang w:val="en-US"/>
              </w:rPr>
              <w:t> </w:t>
            </w:r>
          </w:p>
        </w:tc>
      </w:tr>
    </w:tbl>
    <w:p w:rsidRPr="0066068C" w:rsidR="0089620C" w:rsidP="0089620C" w:rsidRDefault="0089620C" w14:paraId="3A57A115"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4ECB816A"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703090BA"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122D2BE1"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69F91766"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14039AE5"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6959F9D0"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3BD18A5D"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70B5D78A"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0B1ACD76" w14:textId="77777777">
      <w:pPr>
        <w:spacing w:after="0" w:line="240" w:lineRule="auto"/>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89620C" w:rsidR="0089620C" w:rsidP="0089620C" w:rsidRDefault="0089620C" w14:paraId="6AD19F1F" w14:textId="5A29E929">
      <w:pPr>
        <w:spacing w:after="0" w:line="240" w:lineRule="auto"/>
        <w:jc w:val="center"/>
        <w:textAlignment w:val="baseline"/>
        <w:rPr>
          <w:rFonts w:ascii="Segoe UI" w:hAnsi="Segoe UI" w:eastAsia="Times New Roman" w:cs="Segoe UI"/>
          <w:sz w:val="18"/>
          <w:szCs w:val="18"/>
        </w:rPr>
      </w:pPr>
      <w:r>
        <w:rPr>
          <w:rFonts w:ascii="Times New Roman" w:hAnsi="Times New Roman" w:eastAsia="Times New Roman" w:cs="Times New Roman"/>
          <w:b/>
          <w:bCs/>
          <w:color w:val="000000"/>
          <w:sz w:val="24"/>
          <w:szCs w:val="24"/>
        </w:rPr>
        <w:t xml:space="preserve">Area </w:t>
      </w:r>
      <w:r>
        <w:rPr>
          <w:rFonts w:ascii="Times New Roman" w:hAnsi="Times New Roman" w:eastAsia="Times New Roman" w:cs="Times New Roman"/>
          <w:b/>
          <w:bCs/>
          <w:color w:val="000000"/>
          <w:sz w:val="24"/>
          <w:szCs w:val="24"/>
        </w:rPr>
        <w:t>C</w:t>
      </w:r>
      <w:r>
        <w:rPr>
          <w:rFonts w:ascii="Times New Roman" w:hAnsi="Times New Roman" w:eastAsia="Times New Roman" w:cs="Times New Roman"/>
          <w:b/>
          <w:bCs/>
          <w:color w:val="000000"/>
          <w:sz w:val="24"/>
          <w:szCs w:val="24"/>
        </w:rPr>
        <w:t xml:space="preserve">: </w:t>
      </w:r>
      <w:r w:rsidRPr="0089620C">
        <w:rPr>
          <w:rFonts w:ascii="Times New Roman" w:hAnsi="Times New Roman" w:eastAsia="Times New Roman" w:cs="Times New Roman"/>
          <w:b/>
          <w:bCs/>
          <w:color w:val="000000"/>
          <w:sz w:val="24"/>
          <w:szCs w:val="24"/>
          <w:lang w:val="en-US"/>
        </w:rPr>
        <w:t>Developing Global Databases</w:t>
      </w:r>
      <w:r>
        <w:rPr>
          <w:rFonts w:ascii="Times New Roman" w:hAnsi="Times New Roman" w:eastAsia="Times New Roman" w:cs="Times New Roman"/>
          <w:b/>
          <w:bCs/>
          <w:color w:val="000000"/>
          <w:sz w:val="24"/>
          <w:szCs w:val="24"/>
          <w:lang w:val="en-US"/>
        </w:rPr>
        <w:t xml:space="preserve"> </w:t>
      </w:r>
      <w:r>
        <w:rPr>
          <w:rStyle w:val="normaltextrun"/>
          <w:b/>
          <w:bCs/>
          <w:color w:val="000000"/>
          <w:shd w:val="clear" w:color="auto" w:fill="FFFFFF"/>
        </w:rPr>
        <w:t>for the SEEA</w:t>
      </w:r>
    </w:p>
    <w:p w:rsidRPr="0066068C" w:rsidR="0089620C" w:rsidP="0089620C" w:rsidRDefault="0089620C" w14:paraId="06D26938" w14:textId="77777777">
      <w:pPr>
        <w:spacing w:after="0" w:line="240" w:lineRule="auto"/>
        <w:jc w:val="center"/>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color w:val="000000"/>
          <w:sz w:val="24"/>
          <w:szCs w:val="24"/>
          <w:lang w:val="en-US"/>
        </w:rPr>
        <w:t> </w:t>
      </w:r>
    </w:p>
    <w:p w:rsidRPr="0066068C" w:rsidR="0089620C" w:rsidP="0089620C" w:rsidRDefault="0089620C" w14:paraId="511B2DAF" w14:textId="2C99B8C6">
      <w:pPr>
        <w:spacing w:after="0" w:line="240" w:lineRule="auto"/>
        <w:jc w:val="center"/>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rPr>
        <w:t xml:space="preserve">Paper prepared by </w:t>
      </w:r>
      <w:r w:rsidRPr="0089620C">
        <w:rPr>
          <w:rFonts w:ascii="Times New Roman" w:hAnsi="Times New Roman" w:eastAsia="Times New Roman" w:cs="Times New Roman"/>
          <w:sz w:val="24"/>
          <w:szCs w:val="24"/>
        </w:rPr>
        <w:t>the Secretariat and Members of the Area C Working Group </w:t>
      </w:r>
    </w:p>
    <w:p w:rsidRPr="0066068C" w:rsidR="0089620C" w:rsidP="0089620C" w:rsidRDefault="0089620C" w14:paraId="1AB47016" w14:textId="77777777">
      <w:pPr>
        <w:spacing w:after="0" w:line="240" w:lineRule="auto"/>
        <w:jc w:val="center"/>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sz w:val="24"/>
          <w:szCs w:val="24"/>
          <w:lang w:val="en-US"/>
        </w:rPr>
        <w:t> </w:t>
      </w:r>
    </w:p>
    <w:p w:rsidRPr="0066068C" w:rsidR="0089620C" w:rsidP="0089620C" w:rsidRDefault="0089620C" w14:paraId="173CC9D8" w14:textId="77777777">
      <w:pPr>
        <w:spacing w:after="0" w:line="240" w:lineRule="auto"/>
        <w:jc w:val="center"/>
        <w:textAlignment w:val="baseline"/>
        <w:rPr>
          <w:rFonts w:ascii="Segoe UI" w:hAnsi="Segoe UI" w:eastAsia="Times New Roman" w:cs="Segoe UI"/>
          <w:sz w:val="18"/>
          <w:szCs w:val="18"/>
          <w:lang w:val="en-US"/>
        </w:rPr>
      </w:pPr>
      <w:r w:rsidRPr="0066068C">
        <w:rPr>
          <w:rFonts w:ascii="Times New Roman" w:hAnsi="Times New Roman" w:eastAsia="Times New Roman" w:cs="Times New Roman"/>
          <w:i/>
          <w:iCs/>
          <w:sz w:val="24"/>
          <w:szCs w:val="24"/>
        </w:rPr>
        <w:t>(</w:t>
      </w:r>
      <w:proofErr w:type="gramStart"/>
      <w:r w:rsidRPr="0066068C">
        <w:rPr>
          <w:rFonts w:ascii="Times New Roman" w:hAnsi="Times New Roman" w:eastAsia="Times New Roman" w:cs="Times New Roman"/>
          <w:i/>
          <w:iCs/>
          <w:sz w:val="24"/>
          <w:szCs w:val="24"/>
        </w:rPr>
        <w:t>for</w:t>
      </w:r>
      <w:proofErr w:type="gramEnd"/>
      <w:r w:rsidRPr="0066068C">
        <w:rPr>
          <w:rFonts w:ascii="Times New Roman" w:hAnsi="Times New Roman" w:eastAsia="Times New Roman" w:cs="Times New Roman"/>
          <w:i/>
          <w:iCs/>
          <w:sz w:val="24"/>
          <w:szCs w:val="24"/>
        </w:rPr>
        <w:t xml:space="preserve"> discussion)</w:t>
      </w:r>
      <w:r w:rsidRPr="0066068C">
        <w:rPr>
          <w:rFonts w:ascii="Times New Roman" w:hAnsi="Times New Roman" w:eastAsia="Times New Roman" w:cs="Times New Roman"/>
          <w:sz w:val="24"/>
          <w:szCs w:val="24"/>
          <w:lang w:val="en-US"/>
        </w:rPr>
        <w:t> </w:t>
      </w:r>
    </w:p>
    <w:p w:rsidR="0089620C" w:rsidP="0089620C" w:rsidRDefault="0089620C" w14:paraId="121832BF" w14:textId="77777777"/>
    <w:p w:rsidR="0089620C" w:rsidP="00BF1B84" w:rsidRDefault="0089620C" w14:paraId="40E23FC5" w14:textId="3049F3DA">
      <w:pPr>
        <w:rPr>
          <w:b/>
        </w:rPr>
      </w:pPr>
    </w:p>
    <w:p w:rsidR="0089620C" w:rsidP="00BF1B84" w:rsidRDefault="0089620C" w14:paraId="201CC046" w14:textId="0A08FB40">
      <w:pPr>
        <w:rPr>
          <w:b/>
        </w:rPr>
      </w:pPr>
    </w:p>
    <w:p w:rsidR="0089620C" w:rsidP="00BF1B84" w:rsidRDefault="0089620C" w14:paraId="159B741C" w14:textId="07C20FF2">
      <w:pPr>
        <w:rPr>
          <w:b/>
        </w:rPr>
      </w:pPr>
    </w:p>
    <w:p w:rsidR="0089620C" w:rsidP="00BF1B84" w:rsidRDefault="0089620C" w14:paraId="3AEA6C1D" w14:textId="4E426D06">
      <w:pPr>
        <w:rPr>
          <w:b/>
        </w:rPr>
      </w:pPr>
    </w:p>
    <w:p w:rsidR="0089620C" w:rsidP="00BF1B84" w:rsidRDefault="0089620C" w14:paraId="655D6CDF" w14:textId="4C26A437">
      <w:pPr>
        <w:rPr>
          <w:b/>
        </w:rPr>
      </w:pPr>
    </w:p>
    <w:p w:rsidR="0089620C" w:rsidP="00BF1B84" w:rsidRDefault="0089620C" w14:paraId="0176BFD4" w14:textId="43A9E66E">
      <w:pPr>
        <w:rPr>
          <w:b/>
        </w:rPr>
      </w:pPr>
    </w:p>
    <w:p w:rsidR="0089620C" w:rsidP="00BF1B84" w:rsidRDefault="0089620C" w14:paraId="67F9EF90" w14:textId="7A68584D">
      <w:pPr>
        <w:rPr>
          <w:b/>
        </w:rPr>
      </w:pPr>
    </w:p>
    <w:p w:rsidR="0089620C" w:rsidP="00BF1B84" w:rsidRDefault="0089620C" w14:paraId="10107EE2" w14:textId="63E04FC8">
      <w:pPr>
        <w:rPr>
          <w:b/>
        </w:rPr>
      </w:pPr>
    </w:p>
    <w:p w:rsidR="0089620C" w:rsidP="00BF1B84" w:rsidRDefault="0089620C" w14:paraId="2F61A7E4" w14:textId="50728F73">
      <w:pPr>
        <w:rPr>
          <w:b/>
        </w:rPr>
      </w:pPr>
    </w:p>
    <w:p w:rsidR="0089620C" w:rsidP="00BF1B84" w:rsidRDefault="0089620C" w14:paraId="55F5FC67" w14:textId="58E0DC26">
      <w:pPr>
        <w:rPr>
          <w:b/>
        </w:rPr>
      </w:pPr>
    </w:p>
    <w:p w:rsidR="0089620C" w:rsidP="00BF1B84" w:rsidRDefault="0089620C" w14:paraId="456A8AC0" w14:textId="2359C5A3">
      <w:pPr>
        <w:rPr>
          <w:b/>
        </w:rPr>
      </w:pPr>
    </w:p>
    <w:p w:rsidRPr="00CF0A80" w:rsidR="00BF1B84" w:rsidP="6040335C" w:rsidRDefault="00BF1B84" w14:paraId="17BA0966" w14:textId="410DDF8E">
      <w:pPr>
        <w:pStyle w:val="Heading1"/>
        <w:numPr>
          <w:numId w:val="0"/>
        </w:numPr>
        <w:ind w:left="0"/>
        <w:rPr>
          <w:b w:val="1"/>
          <w:bCs w:val="1"/>
        </w:rPr>
      </w:pPr>
      <w:r w:rsidR="00BF1B84">
        <w:rPr/>
        <w:t>Introduction</w:t>
      </w:r>
    </w:p>
    <w:p w:rsidR="00BF1B84" w:rsidP="00495491" w:rsidRDefault="00BF1B84" w14:paraId="17BA0969" w14:textId="3CC17C4C">
      <w:r>
        <w:t xml:space="preserve">This </w:t>
      </w:r>
      <w:proofErr w:type="gramStart"/>
      <w:r>
        <w:t>note</w:t>
      </w:r>
      <w:proofErr w:type="gramEnd"/>
      <w:r>
        <w:t xml:space="preserve"> reports on the activities of the AREA C </w:t>
      </w:r>
      <w:r w:rsidR="006C679A">
        <w:t xml:space="preserve">group </w:t>
      </w:r>
      <w:r>
        <w:t>over the last year</w:t>
      </w:r>
      <w:r w:rsidR="00FD2C44">
        <w:t xml:space="preserve">. </w:t>
      </w:r>
      <w:r w:rsidR="003F3096">
        <w:t>As in previous years, an</w:t>
      </w:r>
      <w:r w:rsidR="00FD2C44">
        <w:t xml:space="preserve"> updated</w:t>
      </w:r>
      <w:r>
        <w:t xml:space="preserve"> roadmap</w:t>
      </w:r>
      <w:r w:rsidR="003F3096">
        <w:t xml:space="preserve"> </w:t>
      </w:r>
      <w:r w:rsidR="00BA585D">
        <w:t>towards 2025</w:t>
      </w:r>
      <w:r w:rsidR="003F3096">
        <w:t xml:space="preserve"> and </w:t>
      </w:r>
      <w:proofErr w:type="gramStart"/>
      <w:r w:rsidR="003F3096">
        <w:t>current status</w:t>
      </w:r>
      <w:proofErr w:type="gramEnd"/>
      <w:r w:rsidR="003F3096">
        <w:t xml:space="preserve"> of work on global databases by account </w:t>
      </w:r>
      <w:r w:rsidR="00803243">
        <w:t xml:space="preserve">are </w:t>
      </w:r>
      <w:r w:rsidR="003F3096">
        <w:t>provided with this report</w:t>
      </w:r>
      <w:r w:rsidR="00BA585D">
        <w:t xml:space="preserve"> (see Annex)</w:t>
      </w:r>
      <w:r w:rsidR="006C679A">
        <w:t xml:space="preserve">. The annex tables </w:t>
      </w:r>
      <w:r w:rsidR="003F3096">
        <w:t xml:space="preserve">contain comprehensive information on the scope of work by the Area C group. </w:t>
      </w:r>
      <w:r>
        <w:t xml:space="preserve"> The next section covers</w:t>
      </w:r>
      <w:r w:rsidR="00BB731B">
        <w:t xml:space="preserve"> some highlights of </w:t>
      </w:r>
      <w:r>
        <w:t xml:space="preserve">current activities and recent progress for the </w:t>
      </w:r>
      <w:r w:rsidR="00BB731B">
        <w:t xml:space="preserve">Area C </w:t>
      </w:r>
      <w:r>
        <w:t>work programme</w:t>
      </w:r>
      <w:r w:rsidR="00705869">
        <w:t>, followed by a summary on priority-setting during the coming years, and questions to the UNCEEA.</w:t>
      </w:r>
    </w:p>
    <w:p w:rsidRPr="003F552A" w:rsidR="00684808" w:rsidP="00684808" w:rsidRDefault="00684808" w14:paraId="354A6C48" w14:textId="6EBAA1A9">
      <w:r w:rsidRPr="003F552A">
        <w:t xml:space="preserve">The objective of Area C is to </w:t>
      </w:r>
      <w:r>
        <w:t xml:space="preserve">establish a set of global SEEA databases to </w:t>
      </w:r>
      <w:r w:rsidRPr="003F552A">
        <w:t xml:space="preserve">provide users with SEEA compliant data sets for integrated policy development and analysis, including the </w:t>
      </w:r>
      <w:r>
        <w:rPr>
          <w:rFonts w:ascii="Calibri" w:hAnsi="Calibri"/>
          <w:color w:val="201F1E"/>
        </w:rPr>
        <w:t>Sustainable Development Goals (</w:t>
      </w:r>
      <w:r w:rsidRPr="003F552A">
        <w:t>SDGs</w:t>
      </w:r>
      <w:r>
        <w:t>)</w:t>
      </w:r>
      <w:r w:rsidRPr="003F552A">
        <w:t xml:space="preserve">. This is done by </w:t>
      </w:r>
      <w:r>
        <w:t xml:space="preserve">coordinating and supporting the development of such databases at international level, by facilitating the exchange of related data among international organisations, and by </w:t>
      </w:r>
      <w:r w:rsidRPr="003F552A">
        <w:t xml:space="preserve">providing direct access to </w:t>
      </w:r>
      <w:r>
        <w:t xml:space="preserve">existing </w:t>
      </w:r>
      <w:r w:rsidRPr="003F552A">
        <w:t>SEEA databases</w:t>
      </w:r>
      <w:r>
        <w:t xml:space="preserve"> through the websites of the International Organisations (IOs). The databases development</w:t>
      </w:r>
      <w:r w:rsidRPr="003F552A">
        <w:t xml:space="preserve"> </w:t>
      </w:r>
      <w:r>
        <w:t xml:space="preserve">work </w:t>
      </w:r>
      <w:r w:rsidRPr="003F552A">
        <w:t>focus</w:t>
      </w:r>
      <w:r>
        <w:t xml:space="preserve"> under Area C is for</w:t>
      </w:r>
      <w:r w:rsidRPr="003F552A">
        <w:t xml:space="preserve"> the five priority accounts (air emissions, energy, material flows, </w:t>
      </w:r>
      <w:proofErr w:type="gramStart"/>
      <w:r w:rsidRPr="003F552A">
        <w:t>land</w:t>
      </w:r>
      <w:proofErr w:type="gramEnd"/>
      <w:r w:rsidRPr="003F552A">
        <w:t xml:space="preserve"> and water)</w:t>
      </w:r>
      <w:r>
        <w:t>, identified</w:t>
      </w:r>
      <w:r w:rsidRPr="003F552A">
        <w:t xml:space="preserve"> at the Eleventh Meeting of UNCEEA in 2016.</w:t>
      </w:r>
      <w:r>
        <w:t xml:space="preserve"> They build as much as possible on national data, complemented with estimates when national data are not (yet) available, </w:t>
      </w:r>
      <w:proofErr w:type="gramStart"/>
      <w:r>
        <w:t>so as to</w:t>
      </w:r>
      <w:proofErr w:type="gramEnd"/>
      <w:r>
        <w:t xml:space="preserve"> achieve a global coverage.</w:t>
      </w:r>
    </w:p>
    <w:p w:rsidRPr="003F552A" w:rsidR="00BF1B84" w:rsidP="00684808" w:rsidRDefault="00BF1B84" w14:paraId="17BA096A" w14:textId="77777777">
      <w:pPr>
        <w:pStyle w:val="Heading1"/>
        <w:numPr>
          <w:ilvl w:val="0"/>
          <w:numId w:val="0"/>
        </w:numPr>
      </w:pPr>
      <w:r w:rsidRPr="003F552A">
        <w:t>Progress on Current Programme of Work</w:t>
      </w:r>
    </w:p>
    <w:p w:rsidR="00BF1B84" w:rsidP="00BF1B84" w:rsidRDefault="00BF1B84" w14:paraId="17BA096C" w14:textId="22D496D3">
      <w:r w:rsidRPr="003F552A">
        <w:t xml:space="preserve">The procedures for developing global SEEA databases are designed to support efficient compilation, </w:t>
      </w:r>
      <w:r w:rsidRPr="003F552A" w:rsidR="00705869">
        <w:t>processing,</w:t>
      </w:r>
      <w:r w:rsidRPr="003F552A">
        <w:t xml:space="preserve"> and exchange of the relevant data by national and international organisations</w:t>
      </w:r>
      <w:r w:rsidR="42E19E34">
        <w:t>,</w:t>
      </w:r>
      <w:r w:rsidRPr="003F552A">
        <w:t xml:space="preserve"> building on </w:t>
      </w:r>
      <w:r w:rsidR="42E19E34">
        <w:t xml:space="preserve">the </w:t>
      </w:r>
      <w:r w:rsidRPr="003F552A">
        <w:t xml:space="preserve">principles </w:t>
      </w:r>
      <w:r w:rsidR="42E19E34">
        <w:t>agreed upon</w:t>
      </w:r>
      <w:r w:rsidRPr="003F552A">
        <w:t xml:space="preserve"> </w:t>
      </w:r>
      <w:r w:rsidR="42E19E34">
        <w:t xml:space="preserve">by </w:t>
      </w:r>
      <w:r w:rsidRPr="003F552A">
        <w:t>the UNCEEA.</w:t>
      </w:r>
      <w:r w:rsidRPr="003F552A">
        <w:rPr>
          <w:rStyle w:val="FootnoteReference"/>
        </w:rPr>
        <w:footnoteReference w:id="2"/>
      </w:r>
      <w:r w:rsidRPr="003F552A">
        <w:t xml:space="preserve"> </w:t>
      </w:r>
      <w:r w:rsidR="5946AC85">
        <w:t>R</w:t>
      </w:r>
      <w:r w:rsidRPr="003F552A" w:rsidR="5946AC85">
        <w:t>esponsibilities</w:t>
      </w:r>
      <w:r w:rsidR="5946AC85">
        <w:t xml:space="preserve"> are distributed </w:t>
      </w:r>
      <w:r w:rsidRPr="003F552A" w:rsidR="5946AC85">
        <w:t>across the Area C group members</w:t>
      </w:r>
      <w:r w:rsidR="5946AC85">
        <w:t>.</w:t>
      </w:r>
      <w:r w:rsidR="00F352A7">
        <w:t xml:space="preserve"> </w:t>
      </w:r>
      <w:r w:rsidR="00495491">
        <w:t>Continu</w:t>
      </w:r>
      <w:r w:rsidR="4F0CE9A8">
        <w:t>ous</w:t>
      </w:r>
      <w:r w:rsidR="00495491">
        <w:t xml:space="preserve"> i</w:t>
      </w:r>
      <w:r>
        <w:t xml:space="preserve">mprovements to the existing </w:t>
      </w:r>
      <w:r w:rsidR="00495491">
        <w:t xml:space="preserve">databases </w:t>
      </w:r>
      <w:r>
        <w:t xml:space="preserve">are a part of the ongoing regular work of the responsible organisations. </w:t>
      </w:r>
      <w:r w:rsidR="00495491">
        <w:t>Recent activities have focused on</w:t>
      </w:r>
      <w:r w:rsidR="00F352A7">
        <w:t xml:space="preserve"> addressing data quality issues, including international timeliness</w:t>
      </w:r>
      <w:r w:rsidR="006C679A">
        <w:t xml:space="preserve">, on </w:t>
      </w:r>
      <w:r w:rsidR="00F352A7">
        <w:t>coherence and comparability of datasets</w:t>
      </w:r>
      <w:r w:rsidR="006C679A">
        <w:t>,</w:t>
      </w:r>
      <w:r w:rsidR="00F352A7">
        <w:t xml:space="preserve"> and on addressing needs to improve coverage for priority accounts</w:t>
      </w:r>
      <w:r w:rsidR="00495491">
        <w:t>.</w:t>
      </w:r>
    </w:p>
    <w:p w:rsidR="00F352A7" w:rsidP="00BF1B84" w:rsidRDefault="00F352A7" w14:paraId="390744EF" w14:textId="10B9C8A7">
      <w:r>
        <w:t xml:space="preserve">During 2022, the Area C group </w:t>
      </w:r>
      <w:r w:rsidR="006F4A61">
        <w:t>finalised development of global questionnaire</w:t>
      </w:r>
      <w:r w:rsidR="00B970EC">
        <w:t>s</w:t>
      </w:r>
      <w:r w:rsidR="006F4A61">
        <w:t xml:space="preserve"> for</w:t>
      </w:r>
      <w:r w:rsidR="00624FEC">
        <w:t xml:space="preserve"> the</w:t>
      </w:r>
      <w:r w:rsidR="006F4A61">
        <w:t xml:space="preserve"> Air Emission Account (AEA) and the Physical Energy Flow Account (PEFA). </w:t>
      </w:r>
      <w:r w:rsidR="00AC211D">
        <w:t xml:space="preserve">The </w:t>
      </w:r>
      <w:r w:rsidR="007C7163">
        <w:t>questionnaires</w:t>
      </w:r>
      <w:r w:rsidR="00AC211D">
        <w:t xml:space="preserve"> were developed using the Eurostat questionnaires as a starting point and via consultations with experts and stakeholders, including via pilot testing of the two questionnaires with countries </w:t>
      </w:r>
      <w:r w:rsidR="007C7163">
        <w:t xml:space="preserve">from different regions </w:t>
      </w:r>
      <w:r w:rsidR="006C679A">
        <w:t xml:space="preserve">and </w:t>
      </w:r>
      <w:r w:rsidR="0002719B">
        <w:t xml:space="preserve">of </w:t>
      </w:r>
      <w:r w:rsidR="00AC211D">
        <w:t>varying levels of experience</w:t>
      </w:r>
      <w:r w:rsidR="006C679A">
        <w:t xml:space="preserve"> with the two accounts</w:t>
      </w:r>
      <w:r w:rsidR="00624FEC">
        <w:t>. The pilot countries</w:t>
      </w:r>
      <w:r w:rsidR="00AC211D">
        <w:t xml:space="preserve"> </w:t>
      </w:r>
      <w:r w:rsidR="00624FEC">
        <w:t>reported data for</w:t>
      </w:r>
      <w:r w:rsidR="00AC211D">
        <w:t xml:space="preserve"> the two types of SEEA physical flow accounts</w:t>
      </w:r>
      <w:r w:rsidR="00624FEC">
        <w:t xml:space="preserve"> and provided feedback on the content of the questionnaires and process</w:t>
      </w:r>
      <w:r w:rsidR="00AC211D">
        <w:t xml:space="preserve">. The new global </w:t>
      </w:r>
      <w:r w:rsidR="007C7163">
        <w:t>questionnaires</w:t>
      </w:r>
      <w:r w:rsidR="00AC211D">
        <w:t xml:space="preserve"> were endorsed by the UNCEEA Bure</w:t>
      </w:r>
      <w:r w:rsidR="0002719B">
        <w:t>au</w:t>
      </w:r>
      <w:r w:rsidR="00AC211D">
        <w:t xml:space="preserve"> and by the UNCEEA Technical Committee in 2022 and are currently being implemented for the first time in </w:t>
      </w:r>
      <w:r w:rsidR="00705869">
        <w:t>coordinated global</w:t>
      </w:r>
      <w:r w:rsidR="00AC211D">
        <w:t xml:space="preserve"> collection of AEA and PEFA data in 2023. Results from the current data collections are expected to be available on the existing IO data portals (</w:t>
      </w:r>
      <w:proofErr w:type="gramStart"/>
      <w:r w:rsidR="00AC211D">
        <w:t>e.g.</w:t>
      </w:r>
      <w:proofErr w:type="gramEnd"/>
      <w:r w:rsidR="00AC211D">
        <w:t xml:space="preserve"> </w:t>
      </w:r>
      <w:hyperlink w:history="1" r:id="rId12">
        <w:r w:rsidRPr="00ED166E" w:rsidR="00AC211D">
          <w:rPr>
            <w:rStyle w:val="Hyperlink"/>
          </w:rPr>
          <w:t>https://stats.oecd.org/</w:t>
        </w:r>
      </w:hyperlink>
      <w:r w:rsidR="00AC211D">
        <w:t>) from the beginning of 2024.</w:t>
      </w:r>
    </w:p>
    <w:p w:rsidR="0002719B" w:rsidP="00BF1B84" w:rsidRDefault="0002719B" w14:paraId="7B6E9D05" w14:textId="763C2B35">
      <w:r>
        <w:t xml:space="preserve">To complement the collections of official data for AEAs, the OECD also manages a programme of work to develop international emissions estimates aimed at complementing and boosting the work on official AEAs at the national level. In some cases, </w:t>
      </w:r>
      <w:r w:rsidR="006C679A">
        <w:t>several</w:t>
      </w:r>
      <w:r>
        <w:t xml:space="preserve"> advantages can be leveraged via multi-national centralized approaches to estimation, especially when the datasets involved are inherently international in nature.  For example, the OECD has developed and applied methodologies using big datasets on air and maritime transport, which have global coverage, to produce nationally aggregated emissions aligned with the national accounts</w:t>
      </w:r>
      <w:r w:rsidR="00705869">
        <w:t>. Thes</w:t>
      </w:r>
      <w:r w:rsidR="007C7163">
        <w:t>e</w:t>
      </w:r>
      <w:r w:rsidR="00705869">
        <w:t xml:space="preserve"> variable</w:t>
      </w:r>
      <w:r w:rsidR="007C7163">
        <w:t>s</w:t>
      </w:r>
      <w:r w:rsidR="00705869">
        <w:t xml:space="preserve"> </w:t>
      </w:r>
      <w:r>
        <w:t xml:space="preserve">are important components of AEAs and </w:t>
      </w:r>
      <w:r w:rsidR="00624FEC">
        <w:lastRenderedPageBreak/>
        <w:t>have</w:t>
      </w:r>
      <w:r>
        <w:t xml:space="preserve"> links to other sources of information, such a</w:t>
      </w:r>
      <w:r w:rsidR="00705869">
        <w:t>s</w:t>
      </w:r>
      <w:r w:rsidR="00393570">
        <w:t xml:space="preserve"> greenhouse gas</w:t>
      </w:r>
      <w:r>
        <w:t xml:space="preserve"> </w:t>
      </w:r>
      <w:r w:rsidR="00393570">
        <w:t>(</w:t>
      </w:r>
      <w:r w:rsidR="007C7163">
        <w:t>GHG</w:t>
      </w:r>
      <w:r w:rsidR="00393570">
        <w:t>)</w:t>
      </w:r>
      <w:r w:rsidR="007C7163">
        <w:t xml:space="preserve"> </w:t>
      </w:r>
      <w:r>
        <w:t>emission inventory reporting</w:t>
      </w:r>
      <w:r w:rsidR="00E265BC">
        <w:t>,</w:t>
      </w:r>
      <w:r>
        <w:t xml:space="preserve"> </w:t>
      </w:r>
      <w:r w:rsidR="00E265BC">
        <w:t>energy statistics, or analyses of international trade</w:t>
      </w:r>
      <w:r>
        <w:t xml:space="preserve">. The maritime </w:t>
      </w:r>
      <w:r w:rsidRPr="412AB067" w:rsidR="00AB6395">
        <w:rPr>
          <w:rFonts w:ascii="Calibri" w:hAnsi="Calibri" w:eastAsia="Calibri" w:cs="Calibri"/>
        </w:rPr>
        <w:t>carbon dioxide (CO</w:t>
      </w:r>
      <w:r w:rsidRPr="412AB067" w:rsidR="00AB6395">
        <w:rPr>
          <w:rFonts w:ascii="Calibri" w:hAnsi="Calibri" w:eastAsia="Calibri" w:cs="Calibri"/>
          <w:vertAlign w:val="subscript"/>
        </w:rPr>
        <w:t>2</w:t>
      </w:r>
      <w:r w:rsidRPr="412AB067" w:rsidR="00AB6395">
        <w:rPr>
          <w:rFonts w:ascii="Calibri" w:hAnsi="Calibri" w:eastAsia="Calibri" w:cs="Calibri"/>
        </w:rPr>
        <w:t>)</w:t>
      </w:r>
      <w:r>
        <w:t xml:space="preserve"> emissions estimates</w:t>
      </w:r>
      <w:r>
        <w:rPr>
          <w:rStyle w:val="FootnoteReference"/>
        </w:rPr>
        <w:footnoteReference w:id="3"/>
      </w:r>
      <w:r>
        <w:t xml:space="preserve">, </w:t>
      </w:r>
      <w:r w:rsidR="006C679A">
        <w:t xml:space="preserve">were recently publicly released </w:t>
      </w:r>
      <w:r>
        <w:t xml:space="preserve">with a provisional allocation from </w:t>
      </w:r>
      <w:r w:rsidR="00473C5C">
        <w:t>the bottom-up (</w:t>
      </w:r>
      <w:r>
        <w:t>vessel-level</w:t>
      </w:r>
      <w:r w:rsidR="00473C5C">
        <w:t>)</w:t>
      </w:r>
      <w:r>
        <w:t xml:space="preserve"> estimates </w:t>
      </w:r>
      <w:r w:rsidR="00473C5C">
        <w:t>to</w:t>
      </w:r>
      <w:r>
        <w:t xml:space="preserve"> the national accounts (economic residence) basis</w:t>
      </w:r>
      <w:r w:rsidR="006C679A">
        <w:t>. The new maritime emission estimates</w:t>
      </w:r>
      <w:r>
        <w:t xml:space="preserve"> build on the </w:t>
      </w:r>
      <w:r w:rsidR="00473C5C">
        <w:t>prev</w:t>
      </w:r>
      <w:r w:rsidR="007C7163">
        <w:t>i</w:t>
      </w:r>
      <w:r w:rsidR="00473C5C">
        <w:t xml:space="preserve">ous database of </w:t>
      </w:r>
      <w:r>
        <w:t>emission from air transport</w:t>
      </w:r>
      <w:r w:rsidR="006C679A">
        <w:t>.</w:t>
      </w:r>
      <w:r w:rsidR="004E7C26">
        <w:rPr>
          <w:rStyle w:val="FootnoteReference"/>
        </w:rPr>
        <w:footnoteReference w:id="4"/>
      </w:r>
      <w:r>
        <w:t xml:space="preserve">  </w:t>
      </w:r>
    </w:p>
    <w:p w:rsidR="00B03E38" w:rsidP="00AC211D" w:rsidRDefault="00583206" w14:paraId="6BF265D3" w14:textId="0B09B344">
      <w:pPr>
        <w:rPr>
          <w:rFonts w:ascii="Calibri" w:hAnsi="Calibri"/>
          <w:color w:val="201F1E"/>
        </w:rPr>
      </w:pPr>
      <w:r>
        <w:rPr>
          <w:rFonts w:ascii="Calibri" w:hAnsi="Calibri"/>
          <w:color w:val="201F1E"/>
        </w:rPr>
        <w:t>Concerning material flow accounts</w:t>
      </w:r>
      <w:r w:rsidR="004E7C26">
        <w:rPr>
          <w:rFonts w:ascii="Calibri" w:hAnsi="Calibri"/>
          <w:color w:val="201F1E"/>
        </w:rPr>
        <w:t xml:space="preserve"> (MFA)</w:t>
      </w:r>
      <w:r>
        <w:rPr>
          <w:rFonts w:ascii="Calibri" w:hAnsi="Calibri"/>
          <w:color w:val="201F1E"/>
        </w:rPr>
        <w:t xml:space="preserve">, the </w:t>
      </w:r>
      <w:r>
        <w:rPr>
          <w:b/>
          <w:bCs/>
        </w:rPr>
        <w:t>Global Manual on Economy Wide Material Flow Accounting</w:t>
      </w:r>
      <w:r>
        <w:t xml:space="preserve"> prepared by UNEP and the International Resource Panel, jointly with Eurostat and in cooperation with the OECD</w:t>
      </w:r>
      <w:r w:rsidR="00393570">
        <w:t>,</w:t>
      </w:r>
      <w:r>
        <w:t xml:space="preserve"> has been published.</w:t>
      </w:r>
      <w:r>
        <w:rPr>
          <w:rStyle w:val="FootnoteReference"/>
        </w:rPr>
        <w:footnoteReference w:id="5"/>
      </w:r>
      <w:r>
        <w:t xml:space="preserve"> </w:t>
      </w:r>
      <w:r w:rsidR="004E7C26">
        <w:t xml:space="preserve">The launch of the new manual helped to create momentum for developments and expansion in the compilation of MFA data from countries, led by UNEP, </w:t>
      </w:r>
      <w:r>
        <w:rPr>
          <w:rFonts w:ascii="Calibri" w:hAnsi="Calibri"/>
          <w:color w:val="201F1E"/>
        </w:rPr>
        <w:t>together with Eurostat</w:t>
      </w:r>
      <w:r w:rsidR="004E7C26">
        <w:rPr>
          <w:rFonts w:ascii="Calibri" w:hAnsi="Calibri"/>
          <w:color w:val="201F1E"/>
        </w:rPr>
        <w:t xml:space="preserve">  and the OECD</w:t>
      </w:r>
      <w:r>
        <w:rPr>
          <w:rFonts w:ascii="Calibri" w:hAnsi="Calibri"/>
          <w:color w:val="201F1E"/>
        </w:rPr>
        <w:t>,</w:t>
      </w:r>
      <w:r w:rsidR="004E7C26">
        <w:rPr>
          <w:rFonts w:ascii="Calibri" w:hAnsi="Calibri"/>
          <w:color w:val="201F1E"/>
        </w:rPr>
        <w:t xml:space="preserve"> for the Global Material Flows and Resource Productivity Database, which is also an input for the SDGs monitoring. Development of MFA usually starts with production-side accounting – the domestically extracted inputs, and the throughput and residuals of the domestic economy. These data are complemented in the MFA with a </w:t>
      </w:r>
      <w:r w:rsidRPr="004E7C26" w:rsidR="004E7C26">
        <w:rPr>
          <w:rFonts w:ascii="Calibri" w:hAnsi="Calibri"/>
          <w:bCs/>
          <w:color w:val="201F1E"/>
        </w:rPr>
        <w:t>method for estimating demand-based material flows</w:t>
      </w:r>
      <w:r w:rsidR="004E7C26">
        <w:rPr>
          <w:rFonts w:ascii="Calibri" w:hAnsi="Calibri"/>
          <w:bCs/>
          <w:color w:val="201F1E"/>
        </w:rPr>
        <w:t>, which incorporates imports and exports of materials with other economies.</w:t>
      </w:r>
      <w:r w:rsidR="00B03E38">
        <w:rPr>
          <w:rFonts w:ascii="Calibri" w:hAnsi="Calibri"/>
          <w:bCs/>
          <w:color w:val="201F1E"/>
        </w:rPr>
        <w:t xml:space="preserve"> The demand-based statistics are required for producing the footprint indicators and work is ongoing</w:t>
      </w:r>
      <w:r w:rsidR="00624FEC">
        <w:rPr>
          <w:rFonts w:ascii="Calibri" w:hAnsi="Calibri"/>
          <w:bCs/>
          <w:color w:val="201F1E"/>
        </w:rPr>
        <w:t>, including as part of</w:t>
      </w:r>
      <w:r w:rsidR="00B03E38">
        <w:rPr>
          <w:rFonts w:ascii="Calibri" w:hAnsi="Calibri"/>
          <w:bCs/>
          <w:color w:val="201F1E"/>
        </w:rPr>
        <w:t xml:space="preserve"> the Area C work plan</w:t>
      </w:r>
      <w:r w:rsidR="00624FEC">
        <w:rPr>
          <w:rFonts w:ascii="Calibri" w:hAnsi="Calibri"/>
          <w:bCs/>
          <w:color w:val="201F1E"/>
        </w:rPr>
        <w:t>,</w:t>
      </w:r>
      <w:r w:rsidR="00B03E38">
        <w:rPr>
          <w:rFonts w:ascii="Calibri" w:hAnsi="Calibri"/>
          <w:bCs/>
          <w:color w:val="201F1E"/>
        </w:rPr>
        <w:t xml:space="preserve"> to continue development of </w:t>
      </w:r>
      <w:r w:rsidR="00473C5C">
        <w:rPr>
          <w:rFonts w:ascii="Calibri" w:hAnsi="Calibri"/>
          <w:bCs/>
          <w:color w:val="201F1E"/>
        </w:rPr>
        <w:t>internationally</w:t>
      </w:r>
      <w:r w:rsidR="00B03E38">
        <w:rPr>
          <w:rFonts w:ascii="Calibri" w:hAnsi="Calibri"/>
          <w:bCs/>
          <w:color w:val="201F1E"/>
        </w:rPr>
        <w:t xml:space="preserve"> agreed and comparable </w:t>
      </w:r>
      <w:r w:rsidR="00473C5C">
        <w:rPr>
          <w:rFonts w:ascii="Calibri" w:hAnsi="Calibri"/>
          <w:bCs/>
          <w:color w:val="201F1E"/>
        </w:rPr>
        <w:t>methodologies</w:t>
      </w:r>
      <w:r w:rsidR="00B03E38">
        <w:rPr>
          <w:rFonts w:ascii="Calibri" w:hAnsi="Calibri"/>
          <w:bCs/>
          <w:color w:val="201F1E"/>
        </w:rPr>
        <w:t xml:space="preserve"> for demand-based material flow indicators</w:t>
      </w:r>
      <w:r w:rsidR="007C7163">
        <w:rPr>
          <w:rFonts w:ascii="Calibri" w:hAnsi="Calibri"/>
          <w:bCs/>
          <w:color w:val="201F1E"/>
        </w:rPr>
        <w:t>.</w:t>
      </w:r>
    </w:p>
    <w:p w:rsidR="00583206" w:rsidP="00583206" w:rsidRDefault="00B03E38" w14:paraId="39FC3A2C" w14:textId="6F7CFA06">
      <w:pPr>
        <w:rPr>
          <w:rFonts w:ascii="Calibri" w:hAnsi="Calibri"/>
          <w:color w:val="201F1E"/>
        </w:rPr>
      </w:pPr>
      <w:r>
        <w:rPr>
          <w:rFonts w:ascii="Calibri" w:hAnsi="Calibri"/>
          <w:color w:val="201F1E"/>
        </w:rPr>
        <w:t>The work on SEEA W</w:t>
      </w:r>
      <w:r w:rsidR="00AC211D">
        <w:t>ater and</w:t>
      </w:r>
      <w:r>
        <w:t xml:space="preserve"> SEEA L</w:t>
      </w:r>
      <w:r w:rsidR="00AC211D">
        <w:t>and</w:t>
      </w:r>
      <w:r>
        <w:t xml:space="preserve"> accounts most recently focussed </w:t>
      </w:r>
      <w:r w:rsidR="00AC211D">
        <w:t>on data quality, particularly</w:t>
      </w:r>
      <w:r>
        <w:t xml:space="preserve"> </w:t>
      </w:r>
      <w:r w:rsidR="00AC211D">
        <w:t>alignment</w:t>
      </w:r>
      <w:r>
        <w:t xml:space="preserve"> of currently available statis</w:t>
      </w:r>
      <w:r w:rsidR="00473C5C">
        <w:t>tics</w:t>
      </w:r>
      <w:r w:rsidR="00AC211D">
        <w:t xml:space="preserve"> to SEEA standards and comparability between countries</w:t>
      </w:r>
      <w:r>
        <w:t>.</w:t>
      </w:r>
      <w:r w:rsidR="004F1F0B">
        <w:t xml:space="preserve"> Eurostat suspended plans </w:t>
      </w:r>
      <w:r w:rsidRPr="6EA1E4E1" w:rsidR="00583206">
        <w:rPr>
          <w:rFonts w:ascii="Calibri" w:hAnsi="Calibri" w:eastAsia="Calibri" w:cs="Calibri"/>
        </w:rPr>
        <w:t xml:space="preserve">for the potential future collection of </w:t>
      </w:r>
      <w:r w:rsidRPr="00473C5C" w:rsidR="00583206">
        <w:rPr>
          <w:rFonts w:ascii="Calibri" w:hAnsi="Calibri" w:eastAsia="Calibri" w:cs="Calibri"/>
          <w:bCs/>
        </w:rPr>
        <w:t>water accounts</w:t>
      </w:r>
      <w:r w:rsidRPr="6EA1E4E1" w:rsidR="00583206">
        <w:rPr>
          <w:rFonts w:ascii="Calibri" w:hAnsi="Calibri" w:eastAsia="Calibri" w:cs="Calibri"/>
        </w:rPr>
        <w:t xml:space="preserve"> </w:t>
      </w:r>
      <w:r w:rsidR="00373C7D">
        <w:rPr>
          <w:rFonts w:ascii="Calibri" w:hAnsi="Calibri" w:eastAsia="Calibri" w:cs="Calibri"/>
        </w:rPr>
        <w:t xml:space="preserve">because of insufficient support </w:t>
      </w:r>
      <w:r w:rsidRPr="6EA1E4E1" w:rsidR="00583206">
        <w:rPr>
          <w:rFonts w:ascii="Calibri" w:hAnsi="Calibri" w:eastAsia="Calibri" w:cs="Calibri"/>
        </w:rPr>
        <w:t>from European countries</w:t>
      </w:r>
      <w:r w:rsidR="004F1F0B">
        <w:rPr>
          <w:rFonts w:ascii="Calibri" w:hAnsi="Calibri" w:eastAsia="Calibri" w:cs="Calibri"/>
        </w:rPr>
        <w:t>,</w:t>
      </w:r>
      <w:r w:rsidR="00AB6395">
        <w:rPr>
          <w:rFonts w:ascii="Calibri" w:hAnsi="Calibri" w:eastAsia="Calibri" w:cs="Calibri"/>
        </w:rPr>
        <w:t xml:space="preserve"> but</w:t>
      </w:r>
      <w:r w:rsidR="004F1F0B">
        <w:rPr>
          <w:rFonts w:ascii="Calibri" w:hAnsi="Calibri" w:eastAsia="Calibri" w:cs="Calibri"/>
        </w:rPr>
        <w:t xml:space="preserve"> Area C members</w:t>
      </w:r>
      <w:r w:rsidR="00624FEC">
        <w:rPr>
          <w:rFonts w:ascii="Calibri" w:hAnsi="Calibri" w:eastAsia="Calibri" w:cs="Calibri"/>
        </w:rPr>
        <w:t xml:space="preserve"> continue to work </w:t>
      </w:r>
      <w:r w:rsidR="004F1F0B">
        <w:rPr>
          <w:rFonts w:ascii="Calibri" w:hAnsi="Calibri" w:eastAsia="Calibri" w:cs="Calibri"/>
        </w:rPr>
        <w:t>to improve capacities for applying the joint OECD/Eurostat and UNEP/UNSD questionnaires on inland waters</w:t>
      </w:r>
      <w:r w:rsidRPr="6EA1E4E1" w:rsidR="00583206">
        <w:rPr>
          <w:rFonts w:ascii="Calibri" w:hAnsi="Calibri" w:eastAsia="Calibri" w:cs="Calibri"/>
        </w:rPr>
        <w:t xml:space="preserve"> </w:t>
      </w:r>
      <w:r w:rsidR="00473C5C">
        <w:rPr>
          <w:rFonts w:ascii="Calibri" w:hAnsi="Calibri" w:eastAsia="Calibri" w:cs="Calibri"/>
        </w:rPr>
        <w:t>f</w:t>
      </w:r>
      <w:r w:rsidR="00583206">
        <w:rPr>
          <w:rFonts w:ascii="Calibri" w:hAnsi="Calibri" w:eastAsia="Calibri" w:cs="Calibri"/>
        </w:rPr>
        <w:t>or populating simple SEEA water accounts. This joint OECD/Eurostat work was initiated in 2017-18 and benefits from regular discussions among IOs (OECD, Eurostat, UNSD, FAO, UN-Habitat</w:t>
      </w:r>
      <w:r w:rsidR="007C7163">
        <w:rPr>
          <w:rFonts w:ascii="Calibri" w:hAnsi="Calibri" w:eastAsia="Calibri" w:cs="Calibri"/>
        </w:rPr>
        <w:t>,</w:t>
      </w:r>
      <w:r w:rsidR="00583206">
        <w:rPr>
          <w:rFonts w:ascii="Calibri" w:hAnsi="Calibri" w:eastAsia="Calibri" w:cs="Calibri"/>
        </w:rPr>
        <w:t xml:space="preserve"> WHO). It has resulted in proposals for further aligning the terms and definitions used in</w:t>
      </w:r>
      <w:r w:rsidR="00473C5C">
        <w:rPr>
          <w:rFonts w:ascii="Calibri" w:hAnsi="Calibri" w:eastAsia="Calibri" w:cs="Calibri"/>
        </w:rPr>
        <w:t xml:space="preserve"> the</w:t>
      </w:r>
      <w:r w:rsidR="00583206">
        <w:rPr>
          <w:rFonts w:ascii="Calibri" w:hAnsi="Calibri" w:eastAsia="Calibri" w:cs="Calibri"/>
        </w:rPr>
        <w:t xml:space="preserve"> international questionnaires. </w:t>
      </w:r>
      <w:r w:rsidR="00D1074D">
        <w:rPr>
          <w:rFonts w:ascii="Calibri" w:hAnsi="Calibri" w:eastAsia="Calibri" w:cs="Calibri"/>
        </w:rPr>
        <w:t>FAO publishes geospatial data for land cover</w:t>
      </w:r>
      <w:r w:rsidR="00D1074D">
        <w:rPr>
          <w:rStyle w:val="FootnoteReference"/>
          <w:rFonts w:ascii="Calibri" w:hAnsi="Calibri" w:eastAsia="Calibri" w:cs="Calibri"/>
        </w:rPr>
        <w:footnoteReference w:id="6"/>
      </w:r>
      <w:r w:rsidR="00D1074D">
        <w:rPr>
          <w:rFonts w:ascii="Calibri" w:hAnsi="Calibri" w:eastAsia="Calibri" w:cs="Calibri"/>
        </w:rPr>
        <w:t xml:space="preserve"> aligned with the SEEA an</w:t>
      </w:r>
      <w:r w:rsidR="00AB6395">
        <w:rPr>
          <w:rFonts w:ascii="Calibri" w:hAnsi="Calibri" w:eastAsia="Calibri" w:cs="Calibri"/>
        </w:rPr>
        <w:t>d</w:t>
      </w:r>
      <w:r w:rsidR="00D1074D">
        <w:rPr>
          <w:rFonts w:ascii="Calibri" w:hAnsi="Calibri" w:eastAsia="Calibri" w:cs="Calibri"/>
        </w:rPr>
        <w:t xml:space="preserve"> the</w:t>
      </w:r>
      <w:r w:rsidRPr="00D1074D" w:rsidR="00D1074D">
        <w:rPr>
          <w:rFonts w:ascii="Calibri" w:hAnsi="Calibri" w:eastAsia="Calibri" w:cs="Calibri"/>
        </w:rPr>
        <w:t xml:space="preserve"> Land Cover Classification System (LCCS)</w:t>
      </w:r>
      <w:r w:rsidR="00AB6395">
        <w:rPr>
          <w:rFonts w:ascii="Calibri" w:hAnsi="Calibri" w:eastAsia="Calibri" w:cs="Calibri"/>
        </w:rPr>
        <w:t>.</w:t>
      </w:r>
      <w:r w:rsidR="00D1074D">
        <w:rPr>
          <w:rFonts w:ascii="Calibri" w:hAnsi="Calibri" w:eastAsia="Calibri" w:cs="Calibri"/>
        </w:rPr>
        <w:t xml:space="preserve"> The OECD also produces compilations for land cover and land use by country based on geospatial data from </w:t>
      </w:r>
      <w:r w:rsidRPr="00D1074D" w:rsidR="00D1074D">
        <w:rPr>
          <w:rFonts w:ascii="Calibri" w:hAnsi="Calibri" w:eastAsia="Calibri" w:cs="Calibri"/>
        </w:rPr>
        <w:t xml:space="preserve">Copernicus/European Space Agency and Université </w:t>
      </w:r>
      <w:proofErr w:type="spellStart"/>
      <w:r w:rsidR="00AB6395">
        <w:rPr>
          <w:rFonts w:ascii="Calibri" w:hAnsi="Calibri" w:eastAsia="Calibri" w:cs="Calibri"/>
        </w:rPr>
        <w:t>C</w:t>
      </w:r>
      <w:r w:rsidRPr="00D1074D" w:rsidR="00D1074D">
        <w:rPr>
          <w:rFonts w:ascii="Calibri" w:hAnsi="Calibri" w:eastAsia="Calibri" w:cs="Calibri"/>
        </w:rPr>
        <w:t>atholique</w:t>
      </w:r>
      <w:proofErr w:type="spellEnd"/>
      <w:r w:rsidRPr="00D1074D" w:rsidR="00D1074D">
        <w:rPr>
          <w:rFonts w:ascii="Calibri" w:hAnsi="Calibri" w:eastAsia="Calibri" w:cs="Calibri"/>
        </w:rPr>
        <w:t xml:space="preserve"> de Louvain Geomatics Climate Change Initiativ</w:t>
      </w:r>
      <w:r w:rsidR="00D1074D">
        <w:rPr>
          <w:rFonts w:ascii="Calibri" w:hAnsi="Calibri" w:eastAsia="Calibri" w:cs="Calibri"/>
        </w:rPr>
        <w:t xml:space="preserve">e. Discussions are ongoing </w:t>
      </w:r>
      <w:r w:rsidR="00624FEC">
        <w:rPr>
          <w:rFonts w:ascii="Calibri" w:hAnsi="Calibri" w:eastAsia="Calibri" w:cs="Calibri"/>
        </w:rPr>
        <w:t>at the regular Area C meetings</w:t>
      </w:r>
      <w:r w:rsidR="00D1074D">
        <w:rPr>
          <w:rFonts w:ascii="Calibri" w:hAnsi="Calibri" w:eastAsia="Calibri" w:cs="Calibri"/>
        </w:rPr>
        <w:t xml:space="preserve">, </w:t>
      </w:r>
      <w:r w:rsidR="00624FEC">
        <w:rPr>
          <w:rFonts w:ascii="Calibri" w:hAnsi="Calibri" w:eastAsia="Calibri" w:cs="Calibri"/>
        </w:rPr>
        <w:t xml:space="preserve">and </w:t>
      </w:r>
      <w:r w:rsidR="00D1074D">
        <w:rPr>
          <w:rFonts w:ascii="Calibri" w:hAnsi="Calibri" w:eastAsia="Calibri" w:cs="Calibri"/>
        </w:rPr>
        <w:t>with other partners</w:t>
      </w:r>
      <w:r w:rsidR="00624FEC">
        <w:rPr>
          <w:rFonts w:ascii="Calibri" w:hAnsi="Calibri" w:eastAsia="Calibri" w:cs="Calibri"/>
        </w:rPr>
        <w:t xml:space="preserve"> at online workshops o</w:t>
      </w:r>
      <w:r w:rsidR="006C679A">
        <w:rPr>
          <w:rFonts w:ascii="Calibri" w:hAnsi="Calibri" w:eastAsia="Calibri" w:cs="Calibri"/>
        </w:rPr>
        <w:t>r</w:t>
      </w:r>
      <w:r w:rsidR="00624FEC">
        <w:rPr>
          <w:rFonts w:ascii="Calibri" w:hAnsi="Calibri" w:eastAsia="Calibri" w:cs="Calibri"/>
        </w:rPr>
        <w:t xml:space="preserve">ganised by the Area C group </w:t>
      </w:r>
      <w:proofErr w:type="gramStart"/>
      <w:r w:rsidR="00624FEC">
        <w:rPr>
          <w:rFonts w:ascii="Calibri" w:hAnsi="Calibri" w:eastAsia="Calibri" w:cs="Calibri"/>
        </w:rPr>
        <w:t>members,  aimed</w:t>
      </w:r>
      <w:proofErr w:type="gramEnd"/>
      <w:r w:rsidR="00624FEC">
        <w:rPr>
          <w:rFonts w:ascii="Calibri" w:hAnsi="Calibri" w:eastAsia="Calibri" w:cs="Calibri"/>
        </w:rPr>
        <w:t xml:space="preserve"> at </w:t>
      </w:r>
      <w:r w:rsidR="006C679A">
        <w:rPr>
          <w:rFonts w:ascii="Calibri" w:hAnsi="Calibri" w:eastAsia="Calibri" w:cs="Calibri"/>
        </w:rPr>
        <w:t>continuous</w:t>
      </w:r>
      <w:r w:rsidR="00D1074D">
        <w:rPr>
          <w:rFonts w:ascii="Calibri" w:hAnsi="Calibri" w:eastAsia="Calibri" w:cs="Calibri"/>
        </w:rPr>
        <w:t xml:space="preserve"> improve</w:t>
      </w:r>
      <w:r w:rsidR="00624FEC">
        <w:rPr>
          <w:rFonts w:ascii="Calibri" w:hAnsi="Calibri" w:eastAsia="Calibri" w:cs="Calibri"/>
        </w:rPr>
        <w:t xml:space="preserve">ments to </w:t>
      </w:r>
      <w:r w:rsidR="00D1074D">
        <w:rPr>
          <w:rFonts w:ascii="Calibri" w:hAnsi="Calibri" w:eastAsia="Calibri" w:cs="Calibri"/>
        </w:rPr>
        <w:t xml:space="preserve"> quality and accessibility </w:t>
      </w:r>
      <w:r w:rsidR="00E265BC">
        <w:rPr>
          <w:rFonts w:ascii="Calibri" w:hAnsi="Calibri" w:eastAsia="Calibri" w:cs="Calibri"/>
        </w:rPr>
        <w:t>of land cover and land use statistics.</w:t>
      </w:r>
    </w:p>
    <w:p w:rsidRPr="00684808" w:rsidR="004D0167" w:rsidP="004D0167" w:rsidRDefault="004D0167" w14:paraId="43D36BCB" w14:textId="34A382EF">
      <w:pPr>
        <w:pStyle w:val="Heading2"/>
        <w:rPr>
          <w:rFonts w:eastAsia="Calibri" w:cs="Calibri"/>
          <w:i/>
          <w:iCs/>
          <w:szCs w:val="22"/>
        </w:rPr>
      </w:pPr>
      <w:r w:rsidRPr="00684808">
        <w:rPr>
          <w:rFonts w:eastAsia="Calibri" w:cs="Calibri"/>
          <w:i/>
          <w:iCs/>
          <w:szCs w:val="22"/>
        </w:rPr>
        <w:t>Coordination</w:t>
      </w:r>
      <w:r w:rsidRPr="00684808" w:rsidR="00684808">
        <w:rPr>
          <w:rFonts w:eastAsia="Calibri" w:cs="Calibri"/>
          <w:i/>
          <w:iCs/>
          <w:szCs w:val="22"/>
        </w:rPr>
        <w:t>, Working Methods, &amp; Governance</w:t>
      </w:r>
    </w:p>
    <w:p w:rsidR="00497221" w:rsidP="004F1F0B" w:rsidRDefault="00497221" w14:paraId="2222104B" w14:textId="77777777"/>
    <w:p w:rsidR="004F1F0B" w:rsidP="004F1F0B" w:rsidRDefault="00497221" w14:paraId="1C10CF4A" w14:textId="463AA6BB">
      <w:pPr>
        <w:rPr>
          <w:rFonts w:ascii="Calibri" w:hAnsi="Calibri" w:eastAsia="Calibri" w:cs="Calibri"/>
        </w:rPr>
      </w:pPr>
      <w:r>
        <w:t>Regular coordination</w:t>
      </w:r>
      <w:r w:rsidR="004D0167">
        <w:t xml:space="preserve"> is key to the success of the activities of the</w:t>
      </w:r>
      <w:r w:rsidR="006C679A">
        <w:t xml:space="preserve"> Area C</w:t>
      </w:r>
      <w:r w:rsidR="004D0167">
        <w:t xml:space="preserve"> group. </w:t>
      </w:r>
      <w:r w:rsidR="004F1F0B">
        <w:t xml:space="preserve">An illustrative example during the past year is the collaboration among Area C members </w:t>
      </w:r>
      <w:r w:rsidRPr="2BE78345" w:rsidR="004F1F0B">
        <w:rPr>
          <w:rFonts w:ascii="Calibri" w:hAnsi="Calibri" w:eastAsia="Calibri" w:cs="Calibri"/>
        </w:rPr>
        <w:t>(IMF, OECD, IEA, Eurostat</w:t>
      </w:r>
      <w:r w:rsidR="004F1F0B">
        <w:rPr>
          <w:rFonts w:ascii="Calibri" w:hAnsi="Calibri" w:eastAsia="Calibri" w:cs="Calibri"/>
        </w:rPr>
        <w:t>,</w:t>
      </w:r>
      <w:r w:rsidRPr="2BE78345" w:rsidR="004F1F0B">
        <w:rPr>
          <w:rFonts w:ascii="Calibri" w:hAnsi="Calibri" w:eastAsia="Calibri" w:cs="Calibri"/>
        </w:rPr>
        <w:t xml:space="preserve"> UNSD) to develop and publish </w:t>
      </w:r>
      <w:r w:rsidRPr="004F1F0B" w:rsidR="004F1F0B">
        <w:rPr>
          <w:rFonts w:ascii="Calibri" w:hAnsi="Calibri" w:eastAsia="Calibri" w:cs="Calibri"/>
          <w:bCs/>
        </w:rPr>
        <w:t>quarterly air emission accounts</w:t>
      </w:r>
      <w:r w:rsidR="004F1F0B">
        <w:rPr>
          <w:rFonts w:ascii="Calibri" w:hAnsi="Calibri" w:eastAsia="Calibri" w:cs="Calibri"/>
        </w:rPr>
        <w:t xml:space="preserve"> (</w:t>
      </w:r>
      <w:r w:rsidRPr="2BE78345" w:rsidR="004F1F0B">
        <w:rPr>
          <w:rFonts w:ascii="Calibri" w:hAnsi="Calibri" w:eastAsia="Calibri" w:cs="Calibri"/>
        </w:rPr>
        <w:t>AEAs</w:t>
      </w:r>
      <w:r w:rsidR="004F1F0B">
        <w:rPr>
          <w:rFonts w:ascii="Calibri" w:hAnsi="Calibri" w:eastAsia="Calibri" w:cs="Calibri"/>
        </w:rPr>
        <w:t xml:space="preserve">). Initial aggregated estimates for quarterly AEAs were published by Eurostat and the OECD during 2022.  Refinements to the temporal disaggregation methodology are ongoing to continuously improve the accuracy and granularity of these estimates. </w:t>
      </w:r>
    </w:p>
    <w:p w:rsidR="004F1F0B" w:rsidP="004F1F0B" w:rsidRDefault="004F1F0B" w14:paraId="72FAA316" w14:textId="5E39A1C7">
      <w:pPr>
        <w:rPr>
          <w:rFonts w:ascii="Calibri" w:hAnsi="Calibri" w:eastAsia="Calibri" w:cs="Calibri"/>
        </w:rPr>
      </w:pPr>
      <w:r>
        <w:rPr>
          <w:rFonts w:ascii="Calibri" w:hAnsi="Calibri" w:eastAsia="Calibri" w:cs="Calibri"/>
        </w:rPr>
        <w:t>The Area C group co</w:t>
      </w:r>
      <w:r w:rsidR="00497221">
        <w:rPr>
          <w:rFonts w:ascii="Calibri" w:hAnsi="Calibri" w:eastAsia="Calibri" w:cs="Calibri"/>
        </w:rPr>
        <w:t xml:space="preserve">mmunicates and collaborates </w:t>
      </w:r>
      <w:r>
        <w:rPr>
          <w:rFonts w:ascii="Calibri" w:hAnsi="Calibri" w:eastAsia="Calibri" w:cs="Calibri"/>
        </w:rPr>
        <w:t xml:space="preserve">continuously, including via </w:t>
      </w:r>
      <w:r w:rsidR="007C7163">
        <w:rPr>
          <w:rFonts w:ascii="Calibri" w:hAnsi="Calibri" w:eastAsia="Calibri" w:cs="Calibri"/>
        </w:rPr>
        <w:t>bi-</w:t>
      </w:r>
      <w:r>
        <w:rPr>
          <w:rFonts w:ascii="Calibri" w:hAnsi="Calibri" w:eastAsia="Calibri" w:cs="Calibri"/>
        </w:rPr>
        <w:t xml:space="preserve">monthly online meetings, so that data quality aspects may be progressively </w:t>
      </w:r>
      <w:r w:rsidRPr="6EA1E4E1">
        <w:rPr>
          <w:rFonts w:ascii="Calibri" w:hAnsi="Calibri" w:eastAsia="Calibri" w:cs="Calibri"/>
        </w:rPr>
        <w:t>enhanced.</w:t>
      </w:r>
      <w:r>
        <w:rPr>
          <w:rFonts w:ascii="Calibri" w:hAnsi="Calibri" w:eastAsia="Calibri" w:cs="Calibri"/>
        </w:rPr>
        <w:t xml:space="preserve"> One of the important </w:t>
      </w:r>
      <w:r w:rsidRPr="6EA1E4E1">
        <w:rPr>
          <w:rFonts w:ascii="Calibri" w:hAnsi="Calibri" w:eastAsia="Calibri" w:cs="Calibri"/>
        </w:rPr>
        <w:lastRenderedPageBreak/>
        <w:t>pre</w:t>
      </w:r>
      <w:r>
        <w:rPr>
          <w:rFonts w:ascii="Calibri" w:hAnsi="Calibri" w:eastAsia="Calibri" w:cs="Calibri"/>
        </w:rPr>
        <w:t xml:space="preserve">requisites for increasing the </w:t>
      </w:r>
      <w:r w:rsidR="006C679A">
        <w:rPr>
          <w:rFonts w:ascii="Calibri" w:hAnsi="Calibri" w:eastAsia="Calibri" w:cs="Calibri"/>
        </w:rPr>
        <w:t xml:space="preserve">use and </w:t>
      </w:r>
      <w:r>
        <w:rPr>
          <w:rFonts w:ascii="Calibri" w:hAnsi="Calibri" w:eastAsia="Calibri" w:cs="Calibri"/>
        </w:rPr>
        <w:t xml:space="preserve">usefulness of SEEA accounts in policy development </w:t>
      </w:r>
      <w:r w:rsidRPr="6EA1E4E1">
        <w:rPr>
          <w:rFonts w:ascii="Calibri" w:hAnsi="Calibri" w:eastAsia="Calibri" w:cs="Calibri"/>
        </w:rPr>
        <w:t xml:space="preserve">is to expand the geographical </w:t>
      </w:r>
      <w:r>
        <w:rPr>
          <w:rFonts w:ascii="Calibri" w:hAnsi="Calibri" w:eastAsia="Calibri" w:cs="Calibri"/>
        </w:rPr>
        <w:t>scope</w:t>
      </w:r>
      <w:r w:rsidRPr="6EA1E4E1">
        <w:rPr>
          <w:rFonts w:ascii="Calibri" w:hAnsi="Calibri" w:eastAsia="Calibri" w:cs="Calibri"/>
        </w:rPr>
        <w:t xml:space="preserve"> of the</w:t>
      </w:r>
      <w:r w:rsidR="006C679A">
        <w:rPr>
          <w:rFonts w:ascii="Calibri" w:hAnsi="Calibri" w:eastAsia="Calibri" w:cs="Calibri"/>
        </w:rPr>
        <w:t xml:space="preserve"> current </w:t>
      </w:r>
      <w:r w:rsidRPr="6EA1E4E1">
        <w:rPr>
          <w:rFonts w:ascii="Calibri" w:hAnsi="Calibri" w:eastAsia="Calibri" w:cs="Calibri"/>
        </w:rPr>
        <w:t>da</w:t>
      </w:r>
      <w:r w:rsidR="006C679A">
        <w:rPr>
          <w:rFonts w:ascii="Calibri" w:hAnsi="Calibri" w:eastAsia="Calibri" w:cs="Calibri"/>
        </w:rPr>
        <w:t>tabases</w:t>
      </w:r>
      <w:r w:rsidRPr="6EA1E4E1">
        <w:rPr>
          <w:rFonts w:ascii="Calibri" w:hAnsi="Calibri" w:eastAsia="Calibri" w:cs="Calibri"/>
        </w:rPr>
        <w:t xml:space="preserve"> </w:t>
      </w:r>
      <w:proofErr w:type="gramStart"/>
      <w:r>
        <w:rPr>
          <w:rFonts w:ascii="Calibri" w:hAnsi="Calibri" w:eastAsia="Calibri" w:cs="Calibri"/>
        </w:rPr>
        <w:t xml:space="preserve">so as </w:t>
      </w:r>
      <w:r w:rsidRPr="6EA1E4E1">
        <w:rPr>
          <w:rFonts w:ascii="Calibri" w:hAnsi="Calibri" w:eastAsia="Calibri" w:cs="Calibri"/>
        </w:rPr>
        <w:t>to</w:t>
      </w:r>
      <w:proofErr w:type="gramEnd"/>
      <w:r w:rsidRPr="6EA1E4E1">
        <w:rPr>
          <w:rFonts w:ascii="Calibri" w:hAnsi="Calibri" w:eastAsia="Calibri" w:cs="Calibri"/>
        </w:rPr>
        <w:t xml:space="preserve"> </w:t>
      </w:r>
      <w:r>
        <w:rPr>
          <w:rFonts w:ascii="Calibri" w:hAnsi="Calibri" w:eastAsia="Calibri" w:cs="Calibri"/>
        </w:rPr>
        <w:t xml:space="preserve">reach a global or </w:t>
      </w:r>
      <w:r w:rsidR="00504242">
        <w:rPr>
          <w:rFonts w:ascii="Calibri" w:hAnsi="Calibri" w:eastAsia="Calibri" w:cs="Calibri"/>
        </w:rPr>
        <w:t>near</w:t>
      </w:r>
      <w:r>
        <w:rPr>
          <w:rFonts w:ascii="Calibri" w:hAnsi="Calibri" w:eastAsia="Calibri" w:cs="Calibri"/>
        </w:rPr>
        <w:t xml:space="preserve">-global </w:t>
      </w:r>
      <w:r w:rsidRPr="6EA1E4E1">
        <w:rPr>
          <w:rFonts w:ascii="Calibri" w:hAnsi="Calibri" w:eastAsia="Calibri" w:cs="Calibri"/>
        </w:rPr>
        <w:t>coverage</w:t>
      </w:r>
      <w:r w:rsidR="006C679A">
        <w:rPr>
          <w:rFonts w:ascii="Calibri" w:hAnsi="Calibri" w:eastAsia="Calibri" w:cs="Calibri"/>
        </w:rPr>
        <w:t xml:space="preserve">. More work could be done to </w:t>
      </w:r>
      <w:r>
        <w:rPr>
          <w:rFonts w:ascii="Calibri" w:hAnsi="Calibri" w:eastAsia="Calibri" w:cs="Calibri"/>
        </w:rPr>
        <w:t>encourage SEEA implementation in all world regions</w:t>
      </w:r>
      <w:r w:rsidRPr="6EA1E4E1">
        <w:rPr>
          <w:rFonts w:ascii="Calibri" w:hAnsi="Calibri" w:eastAsia="Calibri" w:cs="Calibri"/>
        </w:rPr>
        <w:t>. To this end, a two-pronged strategy is deployed to (a) support countries to implement the priority accounts and (b) develop and implement estimation methodologies for filling the gaps</w:t>
      </w:r>
      <w:r>
        <w:rPr>
          <w:rFonts w:ascii="Calibri" w:hAnsi="Calibri" w:eastAsia="Calibri" w:cs="Calibri"/>
        </w:rPr>
        <w:t xml:space="preserve"> and improving timeliness</w:t>
      </w:r>
      <w:r w:rsidRPr="6EA1E4E1">
        <w:rPr>
          <w:rFonts w:ascii="Calibri" w:hAnsi="Calibri" w:eastAsia="Calibri" w:cs="Calibri"/>
        </w:rPr>
        <w:t>.</w:t>
      </w:r>
      <w:r>
        <w:rPr>
          <w:rFonts w:ascii="Calibri" w:hAnsi="Calibri" w:eastAsia="Calibri" w:cs="Calibri"/>
        </w:rPr>
        <w:t xml:space="preserve"> </w:t>
      </w:r>
      <w:r w:rsidRPr="412AB067">
        <w:rPr>
          <w:rFonts w:ascii="Calibri" w:hAnsi="Calibri" w:eastAsia="Calibri" w:cs="Calibri"/>
        </w:rPr>
        <w:t xml:space="preserve">An example </w:t>
      </w:r>
      <w:r w:rsidR="006C679A">
        <w:rPr>
          <w:rFonts w:ascii="Calibri" w:hAnsi="Calibri" w:eastAsia="Calibri" w:cs="Calibri"/>
        </w:rPr>
        <w:t>for the latter</w:t>
      </w:r>
      <w:r w:rsidRPr="412AB067">
        <w:rPr>
          <w:rFonts w:ascii="Calibri" w:hAnsi="Calibri" w:eastAsia="Calibri" w:cs="Calibri"/>
        </w:rPr>
        <w:t xml:space="preserve"> is the OECD methodology to estimate AEAs for CO</w:t>
      </w:r>
      <w:r w:rsidRPr="412AB067">
        <w:rPr>
          <w:rFonts w:ascii="Calibri" w:hAnsi="Calibri" w:eastAsia="Calibri" w:cs="Calibri"/>
          <w:vertAlign w:val="subscript"/>
        </w:rPr>
        <w:t>2</w:t>
      </w:r>
      <w:r w:rsidRPr="412AB067">
        <w:rPr>
          <w:rFonts w:ascii="Calibri" w:hAnsi="Calibri" w:eastAsia="Calibri" w:cs="Calibri"/>
        </w:rPr>
        <w:t>, methane (CH</w:t>
      </w:r>
      <w:r w:rsidRPr="412AB067">
        <w:rPr>
          <w:rFonts w:ascii="Calibri" w:hAnsi="Calibri" w:eastAsia="Calibri" w:cs="Calibri"/>
          <w:vertAlign w:val="subscript"/>
        </w:rPr>
        <w:t>4</w:t>
      </w:r>
      <w:r w:rsidRPr="412AB067">
        <w:rPr>
          <w:rFonts w:ascii="Calibri" w:hAnsi="Calibri" w:eastAsia="Calibri" w:cs="Calibri"/>
        </w:rPr>
        <w:t>) and nitrous oxide (N</w:t>
      </w:r>
      <w:r w:rsidRPr="412AB067">
        <w:rPr>
          <w:rFonts w:ascii="Calibri" w:hAnsi="Calibri" w:eastAsia="Calibri" w:cs="Calibri"/>
          <w:vertAlign w:val="subscript"/>
        </w:rPr>
        <w:t>2</w:t>
      </w:r>
      <w:r w:rsidRPr="412AB067">
        <w:rPr>
          <w:rFonts w:ascii="Calibri" w:hAnsi="Calibri" w:eastAsia="Calibri" w:cs="Calibri"/>
        </w:rPr>
        <w:t xml:space="preserve">O), in line with the SEEA. The methodology </w:t>
      </w:r>
      <w:r>
        <w:rPr>
          <w:rFonts w:ascii="Calibri" w:hAnsi="Calibri" w:eastAsia="Calibri" w:cs="Calibri"/>
        </w:rPr>
        <w:t xml:space="preserve">has been validated </w:t>
      </w:r>
      <w:r w:rsidRPr="412AB067">
        <w:rPr>
          <w:rFonts w:ascii="Calibri" w:hAnsi="Calibri" w:eastAsia="Calibri" w:cs="Calibri"/>
        </w:rPr>
        <w:t>by comparing the estimates with the official emission accounts of countries that have already implemented th</w:t>
      </w:r>
      <w:r w:rsidR="006C679A">
        <w:rPr>
          <w:rFonts w:ascii="Calibri" w:hAnsi="Calibri" w:eastAsia="Calibri" w:cs="Calibri"/>
        </w:rPr>
        <w:t>em</w:t>
      </w:r>
      <w:r w:rsidRPr="412AB067">
        <w:rPr>
          <w:rFonts w:ascii="Calibri" w:hAnsi="Calibri" w:eastAsia="Calibri" w:cs="Calibri"/>
        </w:rPr>
        <w:t>. It has been endorsed by the OECD Working Party on Environmental Information (WPEI) in December 2017, and by the SEEA Technical Committee and the UNCEEA in June 2018.</w:t>
      </w:r>
      <w:r>
        <w:rPr>
          <w:rFonts w:ascii="Calibri" w:hAnsi="Calibri" w:eastAsia="Calibri" w:cs="Calibri"/>
        </w:rPr>
        <w:t xml:space="preserve">  The current Area C strategy includes plans to expand the AEA estimation work further, building on the new joint global data collections launched this year. For all areas of </w:t>
      </w:r>
      <w:r w:rsidR="00473C5C">
        <w:rPr>
          <w:rFonts w:ascii="Calibri" w:hAnsi="Calibri" w:eastAsia="Calibri" w:cs="Calibri"/>
        </w:rPr>
        <w:t xml:space="preserve">data collection and </w:t>
      </w:r>
      <w:r>
        <w:rPr>
          <w:rFonts w:ascii="Calibri" w:hAnsi="Calibri" w:eastAsia="Calibri" w:cs="Calibri"/>
        </w:rPr>
        <w:t xml:space="preserve">international estimation </w:t>
      </w:r>
      <w:r w:rsidR="00473C5C">
        <w:rPr>
          <w:rFonts w:ascii="Calibri" w:hAnsi="Calibri" w:eastAsia="Calibri" w:cs="Calibri"/>
        </w:rPr>
        <w:t>or</w:t>
      </w:r>
      <w:r>
        <w:rPr>
          <w:rFonts w:ascii="Calibri" w:hAnsi="Calibri" w:eastAsia="Calibri" w:cs="Calibri"/>
        </w:rPr>
        <w:t xml:space="preserve"> gap-filling,</w:t>
      </w:r>
      <w:r w:rsidR="00473C5C">
        <w:rPr>
          <w:rFonts w:ascii="Calibri" w:hAnsi="Calibri" w:eastAsia="Calibri" w:cs="Calibri"/>
        </w:rPr>
        <w:t xml:space="preserve"> the Area C group aims to maintain a clear and efficient distribution of responsibilities among the IOs.  Efficiency is a particularly important criterion for this coordination </w:t>
      </w:r>
      <w:r>
        <w:rPr>
          <w:rFonts w:ascii="Calibri" w:hAnsi="Calibri" w:eastAsia="Calibri" w:cs="Calibri"/>
        </w:rPr>
        <w:t xml:space="preserve">given the growing demands by users of global SEEA databases. </w:t>
      </w:r>
    </w:p>
    <w:p w:rsidR="00497221" w:rsidP="004F1F0B" w:rsidRDefault="00497221" w14:paraId="417F10E2" w14:textId="00F039A0">
      <w:pPr>
        <w:rPr>
          <w:rFonts w:ascii="Calibri" w:hAnsi="Calibri" w:eastAsia="Calibri" w:cs="Calibri"/>
        </w:rPr>
      </w:pPr>
      <w:r>
        <w:t xml:space="preserve">There are links between the Area C work and the other Area Groups under the UNCEEEA </w:t>
      </w:r>
      <w:r w:rsidR="006C679A">
        <w:t>(</w:t>
      </w:r>
      <w:r>
        <w:t>see</w:t>
      </w:r>
      <w:r w:rsidR="006C679A">
        <w:t xml:space="preserve"> also the final </w:t>
      </w:r>
      <w:r>
        <w:t xml:space="preserve">column in </w:t>
      </w:r>
      <w:r w:rsidR="006C679A">
        <w:t xml:space="preserve">the </w:t>
      </w:r>
      <w:r>
        <w:t>Road Map)</w:t>
      </w:r>
      <w:r w:rsidR="006C679A">
        <w:t>. C</w:t>
      </w:r>
      <w:r>
        <w:t xml:space="preserve">ommunication among the area groups is important to help ensure maximum benefits from these synergies. In practice, the international community working on the SEEA is relatively small and </w:t>
      </w:r>
      <w:r w:rsidR="00504242">
        <w:t xml:space="preserve">exchanges </w:t>
      </w:r>
      <w:r>
        <w:t xml:space="preserve">among these workstreams happen organically at annual events such as the London Group meetings, the OECD/UNECE Joint Seminar on SEEA Implementation, and the </w:t>
      </w:r>
      <w:r w:rsidRPr="412AB067">
        <w:rPr>
          <w:rFonts w:ascii="Calibri" w:hAnsi="Calibri" w:eastAsia="Calibri" w:cs="Calibri"/>
        </w:rPr>
        <w:t>OECD Working Party on Environmental Information (WPEI)</w:t>
      </w:r>
      <w:r>
        <w:t xml:space="preserve">.  These fora are often incorporating similar research topics or themes as the Area group workplans into their agendas. The Area C group also organizes targeted online workshops, most notably on land cover accounts </w:t>
      </w:r>
      <w:r w:rsidR="006C679A">
        <w:t xml:space="preserve">in </w:t>
      </w:r>
      <w:r>
        <w:t>2022</w:t>
      </w:r>
      <w:r w:rsidR="006C679A">
        <w:t xml:space="preserve"> (with another planned in 2023)</w:t>
      </w:r>
      <w:r>
        <w:t xml:space="preserve">, to </w:t>
      </w:r>
      <w:r w:rsidR="006C679A">
        <w:t xml:space="preserve">discuss strategies </w:t>
      </w:r>
      <w:proofErr w:type="gramStart"/>
      <w:r w:rsidR="006C679A">
        <w:t xml:space="preserve">and  </w:t>
      </w:r>
      <w:r>
        <w:t>address</w:t>
      </w:r>
      <w:proofErr w:type="gramEnd"/>
      <w:r>
        <w:t xml:space="preserve"> specific needs</w:t>
      </w:r>
      <w:r w:rsidR="006C679A">
        <w:t xml:space="preserve">, </w:t>
      </w:r>
      <w:r>
        <w:t xml:space="preserve">convening experts that work on these accounts across institutions.  For data collections, like the new questionnaires launched for AEA and PEFA, online workshops and seminars are used to support the work underlying the exchanges of data and information.  </w:t>
      </w:r>
    </w:p>
    <w:p w:rsidRPr="003F552A" w:rsidR="00BF1B84" w:rsidP="00262D21" w:rsidRDefault="00BF1B84" w14:paraId="17BA0990" w14:textId="708D9188">
      <w:pPr>
        <w:pStyle w:val="Heading1"/>
      </w:pPr>
      <w:r w:rsidRPr="003F552A">
        <w:t>Setting Objectives and Priorities for 202</w:t>
      </w:r>
      <w:r w:rsidR="00AC211D">
        <w:t>4</w:t>
      </w:r>
      <w:r w:rsidRPr="003F552A">
        <w:t>-2025</w:t>
      </w:r>
    </w:p>
    <w:p w:rsidRPr="003F552A" w:rsidR="00BF1B84" w:rsidP="2BE78345" w:rsidRDefault="00705869" w14:paraId="65E1A1A9" w14:textId="1EBD9F81">
      <w:pPr>
        <w:rPr>
          <w:rFonts w:ascii="Calibri" w:hAnsi="Calibri" w:eastAsia="Calibri" w:cs="Calibri"/>
        </w:rPr>
      </w:pPr>
      <w:r>
        <w:t>M</w:t>
      </w:r>
      <w:r w:rsidR="00BF1B84">
        <w:t>ajor priorit</w:t>
      </w:r>
      <w:r w:rsidR="00162296">
        <w:t>ies</w:t>
      </w:r>
      <w:r w:rsidR="00BF1B84">
        <w:t xml:space="preserve"> for the next</w:t>
      </w:r>
      <w:r w:rsidR="00684808">
        <w:t xml:space="preserve"> two</w:t>
      </w:r>
      <w:r w:rsidR="00BF1B84">
        <w:t xml:space="preserve"> years </w:t>
      </w:r>
      <w:r w:rsidR="00B9044E">
        <w:t>are</w:t>
      </w:r>
      <w:r w:rsidR="00BF1B84">
        <w:t xml:space="preserve"> to </w:t>
      </w:r>
      <w:r w:rsidRPr="004D0167" w:rsidR="00BF1B84">
        <w:rPr>
          <w:bCs/>
        </w:rPr>
        <w:t xml:space="preserve">improve the relevance of SEEA priority accounts under Area C by </w:t>
      </w:r>
      <w:r w:rsidRPr="004D0167" w:rsidR="005F63E7">
        <w:rPr>
          <w:bCs/>
        </w:rPr>
        <w:t xml:space="preserve">meeting </w:t>
      </w:r>
      <w:r w:rsidRPr="004D0167" w:rsidR="00BF1B84">
        <w:rPr>
          <w:bCs/>
        </w:rPr>
        <w:t xml:space="preserve">policy </w:t>
      </w:r>
      <w:r w:rsidRPr="004D0167" w:rsidR="005F63E7">
        <w:rPr>
          <w:bCs/>
        </w:rPr>
        <w:t>needs</w:t>
      </w:r>
      <w:r w:rsidRPr="004D0167" w:rsidR="00BF1B84">
        <w:rPr>
          <w:bCs/>
        </w:rPr>
        <w:t>, such as alignment with current sustainability priorities, appropriate granularity of information,</w:t>
      </w:r>
      <w:r w:rsidR="003D15B9">
        <w:rPr>
          <w:bCs/>
        </w:rPr>
        <w:t xml:space="preserve"> </w:t>
      </w:r>
      <w:r w:rsidRPr="004D0167" w:rsidR="00BF1B84">
        <w:rPr>
          <w:bCs/>
        </w:rPr>
        <w:t>timeliness</w:t>
      </w:r>
      <w:r w:rsidR="003D15B9">
        <w:rPr>
          <w:bCs/>
        </w:rPr>
        <w:t>, and expanding, as feasible, geographic coverage represented in the databases</w:t>
      </w:r>
      <w:r w:rsidR="00BF1B84">
        <w:t>.</w:t>
      </w:r>
      <w:r w:rsidR="7526A638">
        <w:t xml:space="preserve"> Gaps in coverage of the current databases </w:t>
      </w:r>
      <w:r w:rsidR="006C31FD">
        <w:t>are</w:t>
      </w:r>
      <w:r w:rsidR="7526A638">
        <w:t xml:space="preserve"> addressed using the subsidiar</w:t>
      </w:r>
      <w:r w:rsidR="006C31FD">
        <w:t>it</w:t>
      </w:r>
      <w:r w:rsidR="7526A638">
        <w:t>y principle and there is a need to develop more UNCEEA-endorsed estimation methodologies where official accounts are unavailable</w:t>
      </w:r>
      <w:r w:rsidR="006C679A">
        <w:t xml:space="preserve">.  There are also demands </w:t>
      </w:r>
      <w:r w:rsidR="003D15B9">
        <w:t xml:space="preserve">for extending time series or other gaps within the available accounts. </w:t>
      </w:r>
      <w:r w:rsidR="7526A638">
        <w:t xml:space="preserve">Each of the priority accounts </w:t>
      </w:r>
      <w:r w:rsidR="003D15B9">
        <w:t xml:space="preserve">has a tailored programme of work (see annex) and </w:t>
      </w:r>
      <w:r w:rsidR="7526A638">
        <w:t>methodolog</w:t>
      </w:r>
      <w:r w:rsidR="003D15B9">
        <w:t>ies for complementing official data.</w:t>
      </w:r>
    </w:p>
    <w:p w:rsidRPr="003F552A" w:rsidR="00BF1B84" w:rsidP="6EA1E4E1" w:rsidRDefault="004F1F0B" w14:paraId="5D2E4C3C" w14:textId="3FB8AA12">
      <w:r>
        <w:t>There is also a constant need to reach out to users</w:t>
      </w:r>
      <w:r w:rsidR="00497221">
        <w:t xml:space="preserve"> of the global </w:t>
      </w:r>
      <w:proofErr w:type="gramStart"/>
      <w:r w:rsidR="00497221">
        <w:t xml:space="preserve">databases, </w:t>
      </w:r>
      <w:r w:rsidR="00C954D3">
        <w:t xml:space="preserve"> beyond</w:t>
      </w:r>
      <w:proofErr w:type="gramEnd"/>
      <w:r w:rsidR="00C954D3">
        <w:t xml:space="preserve"> the broad circle of professionals already working on or familiar with the SEEA</w:t>
      </w:r>
      <w:r w:rsidR="006C679A">
        <w:t xml:space="preserve">. In other words, work on the global SEEA databases requires a </w:t>
      </w:r>
      <w:r w:rsidR="00504EB6">
        <w:t>balancing</w:t>
      </w:r>
      <w:r w:rsidR="006C679A">
        <w:t xml:space="preserve"> between</w:t>
      </w:r>
      <w:r w:rsidR="00504EB6">
        <w:t xml:space="preserve"> the supply-side (statistics production) work </w:t>
      </w:r>
      <w:r w:rsidR="00B9044E">
        <w:t>with continuous</w:t>
      </w:r>
      <w:r w:rsidR="00504EB6">
        <w:t xml:space="preserve"> engagement with the demand (users of SEEA statistics)</w:t>
      </w:r>
      <w:r w:rsidR="00C954D3">
        <w:t xml:space="preserve">.  </w:t>
      </w:r>
      <w:r w:rsidR="00497221">
        <w:t>Interactio</w:t>
      </w:r>
      <w:r w:rsidR="00674ABB">
        <w:t>n</w:t>
      </w:r>
      <w:r w:rsidR="00497221">
        <w:t xml:space="preserve">s with some users </w:t>
      </w:r>
      <w:r w:rsidR="00674ABB">
        <w:t xml:space="preserve">during the past year </w:t>
      </w:r>
      <w:r w:rsidR="00497221">
        <w:t xml:space="preserve">suggests there </w:t>
      </w:r>
      <w:proofErr w:type="gramStart"/>
      <w:r w:rsidR="00497221">
        <w:t xml:space="preserve">are </w:t>
      </w:r>
      <w:r w:rsidR="00C954D3">
        <w:t xml:space="preserve"> large</w:t>
      </w:r>
      <w:proofErr w:type="gramEnd"/>
      <w:r w:rsidR="00C954D3">
        <w:t xml:space="preserve"> numbers of potential users of SEEA global databases who are unaware of </w:t>
      </w:r>
      <w:r w:rsidR="00504EB6">
        <w:t xml:space="preserve">the </w:t>
      </w:r>
      <w:r w:rsidR="00C954D3">
        <w:t xml:space="preserve">currently available SEEA global databases, or </w:t>
      </w:r>
      <w:r w:rsidR="00E265BC">
        <w:t xml:space="preserve">are </w:t>
      </w:r>
      <w:r w:rsidR="00C954D3">
        <w:t>unfamiliar with their advantages for policy analyses.  Communication on uses of the global databases, in collaboration wi</w:t>
      </w:r>
      <w:r w:rsidR="00497221">
        <w:t>th</w:t>
      </w:r>
      <w:r w:rsidR="00C954D3">
        <w:t xml:space="preserve"> the UNCEEA Area A </w:t>
      </w:r>
      <w:r w:rsidR="00C954D3">
        <w:lastRenderedPageBreak/>
        <w:t xml:space="preserve">group on indicators, is therefore recommended as an additional priority </w:t>
      </w:r>
      <w:r w:rsidR="00674ABB">
        <w:t>activity</w:t>
      </w:r>
      <w:r w:rsidR="00C954D3">
        <w:t xml:space="preserve"> for the remaining 2 years under the current Area C strategy.</w:t>
      </w:r>
    </w:p>
    <w:p w:rsidRPr="003F552A" w:rsidR="00551AAC" w:rsidP="00730298" w:rsidRDefault="00551AAC" w14:paraId="0AF47B96" w14:textId="77777777"/>
    <w:p w:rsidRPr="003F552A" w:rsidR="00BF1B84" w:rsidP="63758C50" w:rsidRDefault="00BF1B84" w14:paraId="17BA099A" w14:textId="23DA9162">
      <w:pPr>
        <w:spacing w:after="240"/>
        <w:rPr>
          <w:rFonts w:asciiTheme="majorHAnsi" w:hAnsiTheme="majorHAnsi" w:eastAsiaTheme="majorEastAsia" w:cstheme="majorBidi"/>
          <w:color w:val="2E74B5" w:themeColor="accent1" w:themeShade="BF"/>
          <w:sz w:val="32"/>
          <w:szCs w:val="32"/>
        </w:rPr>
      </w:pPr>
      <w:r w:rsidRPr="63758C50">
        <w:rPr>
          <w:rFonts w:asciiTheme="majorHAnsi" w:hAnsiTheme="majorHAnsi" w:eastAsiaTheme="majorEastAsia" w:cstheme="majorBidi"/>
          <w:color w:val="2E74B5" w:themeColor="accent1" w:themeShade="BF"/>
          <w:sz w:val="32"/>
          <w:szCs w:val="32"/>
        </w:rPr>
        <w:t xml:space="preserve">Questions for UNCEEA </w:t>
      </w:r>
    </w:p>
    <w:p w:rsidRPr="003F552A" w:rsidR="00BF1B84" w:rsidP="00BF1B84" w:rsidRDefault="00BF1B84" w14:paraId="17BA099B" w14:textId="77777777">
      <w:r>
        <w:t>The committee is requested to comment on:</w:t>
      </w:r>
    </w:p>
    <w:p w:rsidR="00C954D3" w:rsidP="00C954D3" w:rsidRDefault="00BF1B84" w14:paraId="53447AC7" w14:textId="77777777">
      <w:pPr>
        <w:pStyle w:val="ListParagraph"/>
        <w:numPr>
          <w:ilvl w:val="0"/>
          <w:numId w:val="4"/>
        </w:numPr>
        <w:spacing w:after="120"/>
      </w:pPr>
      <w:r>
        <w:t>The progress and road map for the five priority accounts.</w:t>
      </w:r>
    </w:p>
    <w:p w:rsidR="00504EB6" w:rsidP="00C954D3" w:rsidRDefault="00504EB6" w14:paraId="06BA77BC" w14:textId="7BA3BC8B">
      <w:pPr>
        <w:pStyle w:val="ListParagraph"/>
        <w:numPr>
          <w:ilvl w:val="0"/>
          <w:numId w:val="4"/>
        </w:numPr>
        <w:spacing w:after="120"/>
        <w:rPr/>
        <w:sectPr w:rsidR="00504EB6">
          <w:footerReference w:type="default" r:id="rId13"/>
          <w:pgSz w:w="11906" w:h="16838" w:orient="portrait"/>
          <w:pgMar w:top="1440" w:right="1440" w:bottom="1440" w:left="1440" w:header="708" w:footer="708" w:gutter="0"/>
          <w:cols w:space="720"/>
        </w:sectPr>
      </w:pPr>
      <w:r w:rsidR="004D0167">
        <w:rPr/>
        <w:t xml:space="preserve">Objectives and priorities for the next two years, including </w:t>
      </w:r>
      <w:r w:rsidR="00C954D3">
        <w:rPr/>
        <w:t>on prioritizing improvements to the quality of priority databases, their geographic coverage, and enhancing relevance and communication with potential use</w:t>
      </w:r>
      <w:r w:rsidR="00B9044E">
        <w:rPr/>
        <w:t>rs</w:t>
      </w:r>
    </w:p>
    <w:p w:rsidRPr="00B9044E" w:rsidR="00B9044E" w:rsidP="00B9044E" w:rsidRDefault="00504EB6" w14:paraId="239DF949" w14:textId="7E713B29">
      <w:pPr>
        <w:pStyle w:val="Heading1"/>
        <w:numPr>
          <w:ilvl w:val="0"/>
          <w:numId w:val="0"/>
        </w:numPr>
      </w:pPr>
      <w:r w:rsidRPr="00504EB6">
        <w:lastRenderedPageBreak/>
        <w:t>Area C Road Map (2023 Version)</w:t>
      </w:r>
    </w:p>
    <w:tbl>
      <w:tblPr>
        <w:tblStyle w:val="OECD"/>
        <w:tblpPr w:leftFromText="180" w:rightFromText="180" w:horzAnchor="page" w:tblpX="1" w:tblpY="240"/>
        <w:tblW w:w="15138" w:type="dxa"/>
        <w:tblLayout w:type="fixed"/>
        <w:tblCellMar>
          <w:left w:w="57" w:type="dxa"/>
          <w:right w:w="57" w:type="dxa"/>
        </w:tblCellMar>
        <w:tblLook w:val="0220" w:firstRow="1" w:lastRow="0" w:firstColumn="0" w:lastColumn="0" w:noHBand="1" w:noVBand="0"/>
      </w:tblPr>
      <w:tblGrid>
        <w:gridCol w:w="1757"/>
        <w:gridCol w:w="1417"/>
        <w:gridCol w:w="2496"/>
        <w:gridCol w:w="3686"/>
        <w:gridCol w:w="1134"/>
        <w:gridCol w:w="2891"/>
        <w:gridCol w:w="1757"/>
      </w:tblGrid>
      <w:tr w:rsidRPr="00294763" w:rsidR="00BA585D" w:rsidTr="00373C7D" w14:paraId="2AB45CBD" w14:textId="7777777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57" w:type="dxa"/>
            <w:tcBorders>
              <w:bottom w:val="single" w:color="auto" w:sz="6" w:space="0"/>
            </w:tcBorders>
            <w:hideMark/>
          </w:tcPr>
          <w:p w:rsidRPr="00294763" w:rsidR="00BA585D" w:rsidP="00373C7D" w:rsidRDefault="00BA585D" w14:paraId="1ECE0500" w14:textId="77777777">
            <w:pPr>
              <w:pStyle w:val="TableColumn"/>
              <w:keepNext w:val="0"/>
              <w:keepLines w:val="0"/>
              <w:widowControl w:val="0"/>
              <w:spacing w:after="0"/>
              <w:jc w:val="left"/>
              <w:rPr>
                <w:b/>
                <w:color w:val="0D0D0D" w:themeColor="text1" w:themeTint="F2"/>
                <w:spacing w:val="-2"/>
                <w:sz w:val="18"/>
                <w:lang w:val="en-GB"/>
              </w:rPr>
            </w:pPr>
            <w:r w:rsidRPr="00294763">
              <w:rPr>
                <w:color w:val="0D0D0D" w:themeColor="text1" w:themeTint="F2"/>
                <w:spacing w:val="-2"/>
                <w:sz w:val="18"/>
              </w:rPr>
              <w:lastRenderedPageBreak/>
              <w:t>Area A: climate indicators</w:t>
            </w:r>
            <w:r w:rsidRPr="00294763">
              <w:rPr>
                <w:b/>
                <w:color w:val="0D0D0D" w:themeColor="text1" w:themeTint="F2"/>
                <w:spacing w:val="-2"/>
                <w:sz w:val="18"/>
                <w:lang w:val="en-GB"/>
              </w:rPr>
              <w:t xml:space="preserve"> Work elements/ topics</w:t>
            </w:r>
          </w:p>
        </w:tc>
        <w:tc>
          <w:tcPr>
            <w:tcW w:w="1417" w:type="dxa"/>
            <w:tcBorders>
              <w:bottom w:val="single" w:color="auto" w:sz="6" w:space="0"/>
            </w:tcBorders>
            <w:hideMark/>
          </w:tcPr>
          <w:p w:rsidRPr="00294763" w:rsidR="00BA585D" w:rsidP="00373C7D" w:rsidRDefault="00BA585D" w14:paraId="60A2A5BE" w14:textId="77777777">
            <w:pPr>
              <w:pStyle w:val="TableColumn"/>
              <w:keepNext w:val="0"/>
              <w:keepLines w:val="0"/>
              <w:widowControl w:val="0"/>
              <w:jc w:val="left"/>
              <w:cnfStyle w:val="100000000000" w:firstRow="1" w:lastRow="0" w:firstColumn="0" w:lastColumn="0" w:oddVBand="0" w:evenVBand="0" w:oddHBand="0" w:evenHBand="0" w:firstRowFirstColumn="0" w:firstRowLastColumn="0" w:lastRowFirstColumn="0" w:lastRowLastColumn="0"/>
              <w:rPr>
                <w:b/>
                <w:color w:val="0D0D0D" w:themeColor="text1" w:themeTint="F2"/>
                <w:spacing w:val="-2"/>
                <w:sz w:val="18"/>
                <w:lang w:val="en-GB"/>
              </w:rPr>
            </w:pPr>
            <w:r w:rsidRPr="00294763">
              <w:rPr>
                <w:b/>
                <w:color w:val="0D0D0D" w:themeColor="text1" w:themeTint="F2"/>
                <w:spacing w:val="-2"/>
                <w:sz w:val="18"/>
                <w:lang w:val="en-GB"/>
              </w:rPr>
              <w:t xml:space="preserve">Lead agencies </w:t>
            </w:r>
            <w:r w:rsidRPr="00294763">
              <w:rPr>
                <w:color w:val="0D0D0D" w:themeColor="text1" w:themeTint="F2"/>
                <w:spacing w:val="-2"/>
                <w:sz w:val="18"/>
                <w:lang w:val="en-GB"/>
              </w:rPr>
              <w:t>(partner agencies)</w:t>
            </w:r>
          </w:p>
        </w:tc>
        <w:tc>
          <w:tcPr>
            <w:cnfStyle w:val="000010000000" w:firstRow="0" w:lastRow="0" w:firstColumn="0" w:lastColumn="0" w:oddVBand="1" w:evenVBand="0" w:oddHBand="0" w:evenHBand="0" w:firstRowFirstColumn="0" w:firstRowLastColumn="0" w:lastRowFirstColumn="0" w:lastRowLastColumn="0"/>
            <w:tcW w:w="2496" w:type="dxa"/>
            <w:tcBorders>
              <w:bottom w:val="single" w:color="auto" w:sz="6" w:space="0"/>
            </w:tcBorders>
            <w:hideMark/>
          </w:tcPr>
          <w:p w:rsidRPr="00294763" w:rsidR="00BA585D" w:rsidP="00373C7D" w:rsidRDefault="00BA585D" w14:paraId="5ABD5492" w14:textId="77777777">
            <w:pPr>
              <w:pStyle w:val="TableColumn"/>
              <w:keepNext w:val="0"/>
              <w:keepLines w:val="0"/>
              <w:widowControl w:val="0"/>
              <w:jc w:val="left"/>
              <w:rPr>
                <w:b/>
                <w:color w:val="0D0D0D" w:themeColor="text1" w:themeTint="F2"/>
                <w:spacing w:val="-2"/>
                <w:sz w:val="18"/>
                <w:lang w:val="en-GB"/>
              </w:rPr>
            </w:pPr>
            <w:r w:rsidRPr="00294763">
              <w:rPr>
                <w:b/>
                <w:color w:val="0D0D0D" w:themeColor="text1" w:themeTint="F2"/>
                <w:spacing w:val="-2"/>
                <w:sz w:val="18"/>
                <w:lang w:val="en-GB"/>
              </w:rPr>
              <w:t>Objectives for 2021-2025</w:t>
            </w:r>
          </w:p>
        </w:tc>
        <w:tc>
          <w:tcPr>
            <w:tcW w:w="3686" w:type="dxa"/>
            <w:tcBorders>
              <w:bottom w:val="single" w:color="auto" w:sz="6" w:space="0"/>
            </w:tcBorders>
            <w:hideMark/>
          </w:tcPr>
          <w:p w:rsidRPr="00294763" w:rsidR="00BA585D" w:rsidP="00373C7D" w:rsidRDefault="00BA585D" w14:paraId="2C624A1E" w14:textId="77777777">
            <w:pPr>
              <w:pStyle w:val="TableColumn"/>
              <w:keepNext w:val="0"/>
              <w:keepLines w:val="0"/>
              <w:widowControl w:val="0"/>
              <w:spacing w:before="0" w:after="0"/>
              <w:jc w:val="left"/>
              <w:cnfStyle w:val="100000000000" w:firstRow="1" w:lastRow="0" w:firstColumn="0" w:lastColumn="0" w:oddVBand="0" w:evenVBand="0" w:oddHBand="0" w:evenHBand="0" w:firstRowFirstColumn="0" w:firstRowLastColumn="0" w:lastRowFirstColumn="0" w:lastRowLastColumn="0"/>
              <w:rPr>
                <w:b/>
                <w:color w:val="0D0D0D" w:themeColor="text1" w:themeTint="F2"/>
                <w:spacing w:val="-2"/>
                <w:sz w:val="18"/>
                <w:lang w:val="en-GB"/>
              </w:rPr>
            </w:pPr>
            <w:r w:rsidRPr="00294763">
              <w:rPr>
                <w:b/>
                <w:color w:val="0D0D0D" w:themeColor="text1" w:themeTint="F2"/>
                <w:spacing w:val="-2"/>
                <w:sz w:val="18"/>
                <w:lang w:val="en-GB"/>
              </w:rPr>
              <w:t>Steps toward the 2025 target</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hideMark/>
          </w:tcPr>
          <w:p w:rsidRPr="00294763" w:rsidR="00BA585D" w:rsidP="00373C7D" w:rsidRDefault="00BA585D" w14:paraId="51C23C03" w14:textId="77777777">
            <w:pPr>
              <w:pStyle w:val="TableColumn"/>
              <w:keepNext w:val="0"/>
              <w:keepLines w:val="0"/>
              <w:widowControl w:val="0"/>
              <w:jc w:val="left"/>
              <w:rPr>
                <w:b/>
                <w:color w:val="0D0D0D" w:themeColor="text1" w:themeTint="F2"/>
                <w:spacing w:val="-2"/>
                <w:sz w:val="18"/>
                <w:lang w:val="en-GB"/>
              </w:rPr>
            </w:pPr>
            <w:r w:rsidRPr="00294763">
              <w:rPr>
                <w:b/>
                <w:color w:val="0D0D0D" w:themeColor="text1" w:themeTint="F2"/>
                <w:spacing w:val="-2"/>
                <w:sz w:val="18"/>
                <w:lang w:val="en-GB"/>
              </w:rPr>
              <w:t>Timelines</w:t>
            </w:r>
          </w:p>
        </w:tc>
        <w:tc>
          <w:tcPr>
            <w:tcW w:w="2891" w:type="dxa"/>
            <w:tcBorders>
              <w:bottom w:val="single" w:color="auto" w:sz="6" w:space="0"/>
            </w:tcBorders>
          </w:tcPr>
          <w:p w:rsidRPr="00294763" w:rsidR="00BA585D" w:rsidP="00373C7D" w:rsidRDefault="00BA585D" w14:paraId="23851423" w14:textId="77777777">
            <w:pPr>
              <w:pStyle w:val="TableColumn"/>
              <w:keepNext w:val="0"/>
              <w:keepLines w:val="0"/>
              <w:widowControl w:val="0"/>
              <w:ind w:right="704"/>
              <w:jc w:val="left"/>
              <w:cnfStyle w:val="100000000000" w:firstRow="1" w:lastRow="0" w:firstColumn="0" w:lastColumn="0" w:oddVBand="0" w:evenVBand="0" w:oddHBand="0" w:evenHBand="0" w:firstRowFirstColumn="0" w:firstRowLastColumn="0" w:lastRowFirstColumn="0" w:lastRowLastColumn="0"/>
              <w:rPr>
                <w:b/>
                <w:color w:val="0D0D0D" w:themeColor="text1" w:themeTint="F2"/>
                <w:spacing w:val="-2"/>
                <w:sz w:val="18"/>
              </w:rPr>
            </w:pPr>
            <w:r w:rsidRPr="00294763">
              <w:rPr>
                <w:b/>
                <w:color w:val="0D0D0D" w:themeColor="text1" w:themeTint="F2"/>
                <w:spacing w:val="-2"/>
                <w:sz w:val="18"/>
              </w:rPr>
              <w:t xml:space="preserve">Links </w:t>
            </w:r>
            <w:r>
              <w:rPr>
                <w:b/>
                <w:color w:val="0D0D0D" w:themeColor="text1" w:themeTint="F2"/>
                <w:spacing w:val="-2"/>
                <w:sz w:val="18"/>
              </w:rPr>
              <w:t xml:space="preserve">to other </w:t>
            </w:r>
            <w:r w:rsidRPr="00294763">
              <w:rPr>
                <w:b/>
                <w:color w:val="0D0D0D" w:themeColor="text1" w:themeTint="F2"/>
                <w:spacing w:val="-2"/>
                <w:sz w:val="18"/>
              </w:rPr>
              <w:t>areas</w:t>
            </w:r>
          </w:p>
        </w:tc>
        <w:tc>
          <w:tcPr>
            <w:cnfStyle w:val="000010000000" w:firstRow="0" w:lastRow="0" w:firstColumn="0" w:lastColumn="0" w:oddVBand="1" w:evenVBand="0" w:oddHBand="0" w:evenHBand="0" w:firstRowFirstColumn="0" w:firstRowLastColumn="0" w:lastRowFirstColumn="0" w:lastRowLastColumn="0"/>
            <w:tcW w:w="1757" w:type="dxa"/>
            <w:tcBorders>
              <w:bottom w:val="single" w:color="auto" w:sz="6" w:space="0"/>
            </w:tcBorders>
          </w:tcPr>
          <w:p w:rsidRPr="00294763" w:rsidR="00BA585D" w:rsidP="00373C7D" w:rsidRDefault="00BA585D" w14:paraId="43623C69" w14:textId="77777777">
            <w:pPr>
              <w:pStyle w:val="TableColumn"/>
              <w:keepNext w:val="0"/>
              <w:keepLines w:val="0"/>
              <w:widowControl w:val="0"/>
              <w:jc w:val="left"/>
              <w:rPr>
                <w:b/>
                <w:color w:val="0D0D0D" w:themeColor="text1" w:themeTint="F2"/>
                <w:spacing w:val="-2"/>
                <w:sz w:val="18"/>
              </w:rPr>
            </w:pPr>
            <w:r w:rsidRPr="00294763">
              <w:rPr>
                <w:b/>
                <w:color w:val="0D0D0D" w:themeColor="text1" w:themeTint="F2"/>
                <w:spacing w:val="-2"/>
                <w:sz w:val="18"/>
              </w:rPr>
              <w:t>Links to work in other areas</w:t>
            </w:r>
          </w:p>
        </w:tc>
      </w:tr>
      <w:tr w:rsidRPr="00294763" w:rsidR="00BA585D" w:rsidTr="00373C7D" w14:paraId="675E2E35" w14:textId="77777777">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bottom w:val="single" w:color="auto" w:sz="6" w:space="0"/>
            </w:tcBorders>
            <w:shd w:val="clear" w:color="auto" w:fill="5B9BD5" w:themeFill="accent1"/>
          </w:tcPr>
          <w:p w:rsidRPr="00294763" w:rsidR="00BA585D" w:rsidP="00373C7D" w:rsidRDefault="00BA585D" w14:paraId="64569B45" w14:textId="77777777">
            <w:pPr>
              <w:pStyle w:val="TableRow"/>
              <w:keepNext w:val="0"/>
              <w:keepLines w:val="0"/>
              <w:widowControl w:val="0"/>
              <w:rPr>
                <w:b/>
                <w:color w:val="0D0D0D" w:themeColor="text1" w:themeTint="F2"/>
                <w:spacing w:val="-2"/>
                <w:sz w:val="18"/>
              </w:rPr>
            </w:pPr>
            <w:r w:rsidRPr="00294763">
              <w:rPr>
                <w:b/>
                <w:color w:val="0D0D0D" w:themeColor="text1" w:themeTint="F2"/>
                <w:spacing w:val="-2"/>
                <w:sz w:val="18"/>
              </w:rPr>
              <w:t>PRIORITY ACCOUNTS</w:t>
            </w:r>
          </w:p>
        </w:tc>
        <w:tc>
          <w:tcPr>
            <w:tcW w:w="1417" w:type="dxa"/>
            <w:tcBorders>
              <w:top w:val="single" w:color="auto" w:sz="6" w:space="0"/>
              <w:bottom w:val="single" w:color="auto" w:sz="6" w:space="0"/>
            </w:tcBorders>
            <w:shd w:val="clear" w:color="auto" w:fill="5B9BD5" w:themeFill="accent1"/>
          </w:tcPr>
          <w:p w:rsidRPr="00294763" w:rsidR="00BA585D" w:rsidP="00373C7D" w:rsidRDefault="00BA585D" w14:paraId="698F9362"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Borders>
              <w:top w:val="single" w:color="auto" w:sz="6" w:space="0"/>
            </w:tcBorders>
            <w:shd w:val="clear" w:color="auto" w:fill="5B9BD5" w:themeFill="accent1"/>
          </w:tcPr>
          <w:p w:rsidRPr="00294763" w:rsidR="00BA585D" w:rsidP="00373C7D" w:rsidRDefault="00BA585D" w14:paraId="44161754" w14:textId="77777777">
            <w:pPr>
              <w:pStyle w:val="TableCell"/>
              <w:keepNext w:val="0"/>
              <w:keepLines w:val="0"/>
              <w:widowControl w:val="0"/>
              <w:jc w:val="left"/>
              <w:rPr>
                <w:b/>
                <w:color w:val="0D0D0D" w:themeColor="text1" w:themeTint="F2"/>
                <w:spacing w:val="-2"/>
                <w:sz w:val="18"/>
              </w:rPr>
            </w:pPr>
          </w:p>
        </w:tc>
        <w:tc>
          <w:tcPr>
            <w:tcW w:w="3686" w:type="dxa"/>
            <w:tcBorders>
              <w:top w:val="single" w:color="auto" w:sz="6" w:space="0"/>
            </w:tcBorders>
            <w:shd w:val="clear" w:color="auto" w:fill="5B9BD5" w:themeFill="accent1"/>
          </w:tcPr>
          <w:p w:rsidRPr="00294763" w:rsidR="00BA585D" w:rsidP="00373C7D" w:rsidRDefault="00BA585D" w14:paraId="1E89CD9B"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shd w:val="clear" w:color="auto" w:fill="5B9BD5" w:themeFill="accent1"/>
          </w:tcPr>
          <w:p w:rsidRPr="00294763" w:rsidR="00BA585D" w:rsidP="00373C7D" w:rsidRDefault="00BA585D" w14:paraId="27A16FDA" w14:textId="77777777">
            <w:pPr>
              <w:pStyle w:val="TableCell"/>
              <w:keepNext w:val="0"/>
              <w:keepLines w:val="0"/>
              <w:widowControl w:val="0"/>
              <w:jc w:val="left"/>
              <w:rPr>
                <w:b/>
                <w:color w:val="0D0D0D" w:themeColor="text1" w:themeTint="F2"/>
                <w:spacing w:val="-2"/>
                <w:sz w:val="18"/>
              </w:rPr>
            </w:pPr>
          </w:p>
        </w:tc>
        <w:tc>
          <w:tcPr>
            <w:tcW w:w="2891" w:type="dxa"/>
            <w:tcBorders>
              <w:top w:val="single" w:color="auto" w:sz="6" w:space="0"/>
            </w:tcBorders>
            <w:shd w:val="clear" w:color="auto" w:fill="5B9BD5" w:themeFill="accent1"/>
          </w:tcPr>
          <w:p w:rsidRPr="00294763" w:rsidR="00BA585D" w:rsidP="00373C7D" w:rsidRDefault="00BA585D" w14:paraId="774CCF0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tcBorders>
            <w:shd w:val="clear" w:color="auto" w:fill="5B9BD5" w:themeFill="accent1"/>
          </w:tcPr>
          <w:p w:rsidRPr="00294763" w:rsidR="00BA585D" w:rsidP="00373C7D" w:rsidRDefault="00BA585D" w14:paraId="58AFB276" w14:textId="77777777">
            <w:pPr>
              <w:pStyle w:val="TableCell"/>
              <w:keepNext w:val="0"/>
              <w:keepLines w:val="0"/>
              <w:widowControl w:val="0"/>
              <w:jc w:val="left"/>
              <w:rPr>
                <w:b/>
                <w:color w:val="0D0D0D" w:themeColor="text1" w:themeTint="F2"/>
                <w:spacing w:val="-2"/>
                <w:sz w:val="18"/>
              </w:rPr>
            </w:pPr>
          </w:p>
        </w:tc>
      </w:tr>
      <w:tr w:rsidRPr="00294763" w:rsidR="00BA585D" w:rsidTr="00373C7D" w14:paraId="21B0F7A2" w14:textId="77777777">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bottom w:val="single" w:color="auto" w:sz="6" w:space="0"/>
            </w:tcBorders>
            <w:hideMark/>
          </w:tcPr>
          <w:p w:rsidRPr="00294763" w:rsidR="00BA585D" w:rsidP="00373C7D" w:rsidRDefault="00BA585D" w14:paraId="231FA330" w14:textId="77777777">
            <w:pPr>
              <w:pStyle w:val="TableRow"/>
              <w:keepNext w:val="0"/>
              <w:keepLines w:val="0"/>
              <w:widowControl w:val="0"/>
              <w:rPr>
                <w:b/>
                <w:color w:val="0D0D0D" w:themeColor="text1" w:themeTint="F2"/>
                <w:spacing w:val="-2"/>
                <w:sz w:val="18"/>
                <w:lang w:val="fr-FR"/>
              </w:rPr>
            </w:pPr>
            <w:r w:rsidRPr="00294763">
              <w:rPr>
                <w:b/>
                <w:color w:val="0D0D0D" w:themeColor="text1" w:themeTint="F2"/>
                <w:spacing w:val="-2"/>
                <w:sz w:val="18"/>
                <w:lang w:val="fr-FR"/>
              </w:rPr>
              <w:t xml:space="preserve">Air </w:t>
            </w:r>
            <w:proofErr w:type="spellStart"/>
            <w:r w:rsidRPr="00294763">
              <w:rPr>
                <w:b/>
                <w:color w:val="0D0D0D" w:themeColor="text1" w:themeTint="F2"/>
                <w:spacing w:val="-2"/>
                <w:sz w:val="18"/>
                <w:lang w:val="fr-FR"/>
              </w:rPr>
              <w:t>emissions</w:t>
            </w:r>
            <w:proofErr w:type="spellEnd"/>
          </w:p>
          <w:p w:rsidRPr="00294763" w:rsidR="00BA585D" w:rsidP="00373C7D" w:rsidRDefault="00BA585D" w14:paraId="0FC42C8D" w14:textId="77777777">
            <w:pPr>
              <w:pStyle w:val="TableRow"/>
              <w:keepNext w:val="0"/>
              <w:keepLines w:val="0"/>
              <w:widowControl w:val="0"/>
              <w:rPr>
                <w:color w:val="0D0D0D" w:themeColor="text1" w:themeTint="F2"/>
                <w:spacing w:val="-2"/>
                <w:sz w:val="18"/>
                <w:lang w:val="fr-FR"/>
              </w:rPr>
            </w:pPr>
            <w:r w:rsidRPr="00294763">
              <w:rPr>
                <w:color w:val="0D0D0D" w:themeColor="text1" w:themeTint="F2"/>
                <w:spacing w:val="-2"/>
                <w:sz w:val="18"/>
                <w:lang w:val="fr-FR"/>
              </w:rPr>
              <w:t xml:space="preserve">(GHG, air </w:t>
            </w:r>
            <w:proofErr w:type="spellStart"/>
            <w:r w:rsidRPr="00294763">
              <w:rPr>
                <w:color w:val="0D0D0D" w:themeColor="text1" w:themeTint="F2"/>
                <w:spacing w:val="-2"/>
                <w:sz w:val="18"/>
                <w:lang w:val="fr-FR"/>
              </w:rPr>
              <w:t>pollutants</w:t>
            </w:r>
            <w:proofErr w:type="spellEnd"/>
            <w:r w:rsidRPr="00294763">
              <w:rPr>
                <w:color w:val="0D0D0D" w:themeColor="text1" w:themeTint="F2"/>
                <w:spacing w:val="-2"/>
                <w:sz w:val="18"/>
                <w:lang w:val="fr-FR"/>
              </w:rPr>
              <w:t xml:space="preserve">) </w:t>
            </w:r>
          </w:p>
        </w:tc>
        <w:tc>
          <w:tcPr>
            <w:tcW w:w="1417" w:type="dxa"/>
            <w:vMerge w:val="restart"/>
            <w:tcBorders>
              <w:top w:val="single" w:color="auto" w:sz="6" w:space="0"/>
              <w:bottom w:val="single" w:color="auto" w:sz="6" w:space="0"/>
            </w:tcBorders>
            <w:hideMark/>
          </w:tcPr>
          <w:p w:rsidRPr="00294763" w:rsidR="00BA585D" w:rsidP="00373C7D" w:rsidRDefault="00BA585D" w14:paraId="73EDD4F7"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b/>
                <w:color w:val="0D0D0D" w:themeColor="text1" w:themeTint="F2"/>
                <w:spacing w:val="-2"/>
                <w:sz w:val="18"/>
                <w:lang w:val="en-GB"/>
              </w:rPr>
              <w:t>OECD</w:t>
            </w:r>
            <w:r w:rsidRPr="00294763">
              <w:rPr>
                <w:color w:val="0D0D0D" w:themeColor="text1" w:themeTint="F2"/>
                <w:spacing w:val="-2"/>
                <w:sz w:val="18"/>
                <w:lang w:val="en-GB"/>
              </w:rPr>
              <w:t xml:space="preserve"> </w:t>
            </w:r>
            <w:r w:rsidRPr="00294763">
              <w:rPr>
                <w:color w:val="0D0D0D" w:themeColor="text1" w:themeTint="F2"/>
                <w:spacing w:val="-2"/>
                <w:sz w:val="18"/>
                <w:lang w:val="en-GB"/>
              </w:rPr>
              <w:br/>
            </w:r>
            <w:r w:rsidRPr="00294763">
              <w:rPr>
                <w:color w:val="0D0D0D" w:themeColor="text1" w:themeTint="F2"/>
                <w:spacing w:val="-2"/>
                <w:sz w:val="18"/>
                <w:lang w:val="en-GB"/>
              </w:rPr>
              <w:t>(with Eurostat</w:t>
            </w:r>
            <w:r>
              <w:rPr>
                <w:color w:val="0D0D0D" w:themeColor="text1" w:themeTint="F2"/>
                <w:spacing w:val="-2"/>
                <w:sz w:val="18"/>
                <w:lang w:val="en-GB"/>
              </w:rPr>
              <w:t xml:space="preserve"> and UNSD</w:t>
            </w:r>
            <w:r w:rsidRPr="00294763">
              <w:rPr>
                <w:color w:val="0D0D0D" w:themeColor="text1" w:themeTint="F2"/>
                <w:spacing w:val="-2"/>
                <w:sz w:val="18"/>
                <w:lang w:val="en-GB"/>
              </w:rPr>
              <w:t>)</w:t>
            </w:r>
          </w:p>
        </w:tc>
        <w:tc>
          <w:tcPr>
            <w:cnfStyle w:val="000010000000" w:firstRow="0" w:lastRow="0" w:firstColumn="0" w:lastColumn="0" w:oddVBand="1" w:evenVBand="0" w:oddHBand="0" w:evenHBand="0" w:firstRowFirstColumn="0" w:firstRowLastColumn="0" w:lastRowFirstColumn="0" w:lastRowLastColumn="0"/>
            <w:tcW w:w="2496" w:type="dxa"/>
            <w:tcBorders>
              <w:top w:val="single" w:color="auto" w:sz="6" w:space="0"/>
            </w:tcBorders>
          </w:tcPr>
          <w:p w:rsidRPr="00294763" w:rsidR="00BA585D" w:rsidP="00373C7D" w:rsidRDefault="00BA585D" w14:paraId="06100D55"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Improve timeliness &amp; frequency: </w:t>
            </w:r>
          </w:p>
          <w:p w:rsidRPr="00294763" w:rsidR="00BA585D" w:rsidP="00373C7D" w:rsidRDefault="00BA585D" w14:paraId="30DC2443" w14:textId="77777777">
            <w:pPr>
              <w:pStyle w:val="TableCell"/>
              <w:keepNext w:val="0"/>
              <w:keepLines w:val="0"/>
              <w:widowControl w:val="0"/>
              <w:jc w:val="left"/>
              <w:rPr>
                <w:color w:val="0D0D0D" w:themeColor="text1" w:themeTint="F2"/>
                <w:spacing w:val="-2"/>
                <w:sz w:val="18"/>
                <w:lang w:val="en-GB"/>
              </w:rPr>
            </w:pPr>
            <w:r w:rsidRPr="00294763">
              <w:rPr>
                <w:i/>
                <w:color w:val="0D0D0D" w:themeColor="text1" w:themeTint="F2"/>
                <w:spacing w:val="-2"/>
                <w:sz w:val="18"/>
                <w:lang w:val="en-GB"/>
              </w:rPr>
              <w:t>Develop a methodology for quarterly estimation to meet the demand from policy makers.</w:t>
            </w:r>
          </w:p>
        </w:tc>
        <w:tc>
          <w:tcPr>
            <w:tcW w:w="3686" w:type="dxa"/>
            <w:tcBorders>
              <w:top w:val="single" w:color="auto" w:sz="6" w:space="0"/>
            </w:tcBorders>
          </w:tcPr>
          <w:p w:rsidRPr="00294763" w:rsidR="00BA585D" w:rsidP="00373C7D" w:rsidRDefault="00BA585D" w14:paraId="0867E287"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 xml:space="preserve">Develop methodology for quarterly AEAs (aiming ultimately at t-2 months’ time lag after the end of the </w:t>
            </w:r>
            <w:r w:rsidRPr="00294763">
              <w:rPr>
                <w:color w:val="0D0D0D" w:themeColor="text1" w:themeTint="F2"/>
                <w:spacing w:val="-2"/>
                <w:sz w:val="18"/>
              </w:rPr>
              <w:t>reference</w:t>
            </w:r>
            <w:r w:rsidRPr="00294763">
              <w:rPr>
                <w:color w:val="0D0D0D" w:themeColor="text1" w:themeTint="F2"/>
                <w:spacing w:val="-2"/>
                <w:sz w:val="18"/>
                <w:lang w:val="en-GB"/>
              </w:rPr>
              <w:t xml:space="preserve"> quarter). Would also lead to early annual emission estimates (collaboration between IMF, OECD, Eurostat, IEA, UNSD)</w:t>
            </w: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tcPr>
          <w:p w:rsidRPr="00294763" w:rsidR="00BA585D" w:rsidP="00373C7D" w:rsidRDefault="00BA585D" w14:paraId="146A13C3"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2021-22</w:t>
            </w:r>
          </w:p>
          <w:p w:rsidRPr="00294763" w:rsidR="00BA585D" w:rsidP="00373C7D" w:rsidRDefault="00BA585D" w14:paraId="4484D497"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Ongoing</w:t>
            </w:r>
          </w:p>
        </w:tc>
        <w:tc>
          <w:tcPr>
            <w:tcW w:w="2891" w:type="dxa"/>
            <w:tcBorders>
              <w:top w:val="single" w:color="auto" w:sz="6" w:space="0"/>
            </w:tcBorders>
          </w:tcPr>
          <w:p w:rsidRPr="00294763" w:rsidR="00BA585D" w:rsidP="00373C7D" w:rsidRDefault="00BA585D" w14:paraId="36DC79E6"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A: climate indicators</w:t>
            </w:r>
          </w:p>
        </w:tc>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tcBorders>
          </w:tcPr>
          <w:p w:rsidRPr="00294763" w:rsidR="00BA585D" w:rsidP="00373C7D" w:rsidRDefault="00BA585D" w14:paraId="433D4C9D"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climate indicators</w:t>
            </w:r>
          </w:p>
        </w:tc>
      </w:tr>
      <w:tr w:rsidRPr="00294763" w:rsidR="00BA585D" w:rsidTr="00373C7D" w14:paraId="3D7E2E89"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1D18B81A"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585B8467"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val="restart"/>
          </w:tcPr>
          <w:p w:rsidRPr="00294763" w:rsidR="00BA585D" w:rsidP="00373C7D" w:rsidRDefault="00BA585D" w14:paraId="49F33DC8"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Expand geographical coverage: </w:t>
            </w:r>
          </w:p>
          <w:p w:rsidRPr="00294763" w:rsidR="00BA585D" w:rsidP="00373C7D" w:rsidRDefault="00BA585D" w14:paraId="1395FDBF" w14:textId="77777777">
            <w:pPr>
              <w:pStyle w:val="TableCell"/>
              <w:keepNext w:val="0"/>
              <w:keepLines w:val="0"/>
              <w:widowControl w:val="0"/>
              <w:jc w:val="left"/>
              <w:rPr>
                <w:i/>
                <w:color w:val="0D0D0D" w:themeColor="text1" w:themeTint="F2"/>
                <w:spacing w:val="-2"/>
                <w:sz w:val="18"/>
                <w:u w:val="single"/>
              </w:rPr>
            </w:pPr>
            <w:r w:rsidRPr="00294763">
              <w:rPr>
                <w:i/>
                <w:color w:val="0D0D0D" w:themeColor="text1" w:themeTint="F2"/>
                <w:spacing w:val="-2"/>
                <w:sz w:val="18"/>
                <w:lang w:val="en-GB"/>
              </w:rPr>
              <w:t>Ensure that (</w:t>
            </w:r>
            <w:proofErr w:type="spellStart"/>
            <w:r w:rsidRPr="00294763">
              <w:rPr>
                <w:i/>
                <w:color w:val="0D0D0D" w:themeColor="text1" w:themeTint="F2"/>
                <w:spacing w:val="-2"/>
                <w:sz w:val="18"/>
                <w:lang w:val="en-GB"/>
              </w:rPr>
              <w:t>i</w:t>
            </w:r>
            <w:proofErr w:type="spellEnd"/>
            <w:r w:rsidRPr="00294763">
              <w:rPr>
                <w:i/>
                <w:color w:val="0D0D0D" w:themeColor="text1" w:themeTint="F2"/>
                <w:spacing w:val="-2"/>
                <w:sz w:val="18"/>
                <w:lang w:val="en-GB"/>
              </w:rPr>
              <w:t>) all official AEAs are included in the OECD’s database / global database; (ii) all AEA related national data are compiled or estimated.</w:t>
            </w:r>
          </w:p>
        </w:tc>
        <w:tc>
          <w:tcPr>
            <w:tcW w:w="3686" w:type="dxa"/>
          </w:tcPr>
          <w:p w:rsidRPr="00294763" w:rsidR="00BA585D" w:rsidP="00373C7D" w:rsidRDefault="00BA585D" w14:paraId="7C3444ED"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lang w:val="en-GB"/>
              </w:rPr>
              <w:t>Develop methodology for estimating annual AEAs for non-Annex I countries of UNFCCC.</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7C452F4E"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lang w:val="en-GB"/>
              </w:rPr>
              <w:t>2022-23</w:t>
            </w:r>
          </w:p>
        </w:tc>
        <w:tc>
          <w:tcPr>
            <w:tcW w:w="2891" w:type="dxa"/>
          </w:tcPr>
          <w:p w:rsidRPr="00294763" w:rsidR="00BA585D" w:rsidP="00373C7D" w:rsidRDefault="00BA585D" w14:paraId="0534C33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5432D765" w14:textId="77777777">
            <w:pPr>
              <w:pStyle w:val="TableCell"/>
              <w:keepNext w:val="0"/>
              <w:keepLines w:val="0"/>
              <w:widowControl w:val="0"/>
              <w:jc w:val="left"/>
              <w:rPr>
                <w:color w:val="0D0D0D" w:themeColor="text1" w:themeTint="F2"/>
                <w:spacing w:val="-2"/>
                <w:sz w:val="18"/>
              </w:rPr>
            </w:pPr>
          </w:p>
        </w:tc>
      </w:tr>
      <w:tr w:rsidRPr="00294763" w:rsidR="00BA585D" w:rsidTr="00373C7D" w14:paraId="0FA65951"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CCC0660"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2A1D6B17"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45A21F81" w14:textId="77777777">
            <w:pPr>
              <w:pStyle w:val="TableCell"/>
              <w:keepNext w:val="0"/>
              <w:keepLines w:val="0"/>
              <w:widowControl w:val="0"/>
              <w:jc w:val="left"/>
              <w:rPr>
                <w:color w:val="0D0D0D" w:themeColor="text1" w:themeTint="F2"/>
                <w:spacing w:val="-2"/>
                <w:sz w:val="18"/>
                <w:u w:val="single"/>
              </w:rPr>
            </w:pPr>
          </w:p>
        </w:tc>
        <w:tc>
          <w:tcPr>
            <w:tcW w:w="3686" w:type="dxa"/>
          </w:tcPr>
          <w:p w:rsidRPr="00294763" w:rsidR="00BA585D" w:rsidP="00373C7D" w:rsidRDefault="00BA585D" w14:paraId="779F8302" w14:textId="5E01DFA5">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lang w:val="en-GB"/>
              </w:rPr>
              <w:t xml:space="preserve">Develop tiered </w:t>
            </w:r>
            <w:r w:rsidR="007C7163">
              <w:rPr>
                <w:color w:val="0D0D0D" w:themeColor="text1" w:themeTint="F2"/>
                <w:spacing w:val="-2"/>
                <w:sz w:val="18"/>
                <w:lang w:val="en-GB"/>
              </w:rPr>
              <w:t>questionnaire</w:t>
            </w:r>
            <w:r w:rsidRPr="00294763">
              <w:rPr>
                <w:color w:val="0D0D0D" w:themeColor="text1" w:themeTint="F2"/>
                <w:spacing w:val="-2"/>
                <w:sz w:val="18"/>
                <w:lang w:val="en-GB"/>
              </w:rPr>
              <w:t xml:space="preserve"> with minimum set of information to be compiled by countries without SDMX transmission.</w:t>
            </w:r>
          </w:p>
          <w:p w:rsidRPr="00294763" w:rsidR="00BA585D" w:rsidP="00373C7D" w:rsidRDefault="00BA585D" w14:paraId="3D71DA30"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lang w:val="en-GB"/>
              </w:rPr>
              <w:t>Establish regular data collection</w:t>
            </w:r>
          </w:p>
        </w:tc>
        <w:tc>
          <w:tcPr>
            <w:cnfStyle w:val="000010000000" w:firstRow="0" w:lastRow="0" w:firstColumn="0" w:lastColumn="0" w:oddVBand="1" w:evenVBand="0" w:oddHBand="0" w:evenHBand="0" w:firstRowFirstColumn="0" w:firstRowLastColumn="0" w:lastRowFirstColumn="0" w:lastRowLastColumn="0"/>
            <w:tcW w:w="1134" w:type="dxa"/>
          </w:tcPr>
          <w:p w:rsidR="00BA585D" w:rsidP="00373C7D" w:rsidRDefault="00BA585D" w14:paraId="53CC4405" w14:textId="700ACBCA">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completed</w:t>
            </w:r>
          </w:p>
          <w:p w:rsidR="00BA585D" w:rsidP="00373C7D" w:rsidRDefault="00BA585D" w14:paraId="5E5A52D3" w14:textId="77777777">
            <w:pPr>
              <w:pStyle w:val="TableCell"/>
              <w:keepNext w:val="0"/>
              <w:keepLines w:val="0"/>
              <w:widowControl w:val="0"/>
              <w:jc w:val="left"/>
              <w:rPr>
                <w:color w:val="0D0D0D" w:themeColor="text1" w:themeTint="F2"/>
                <w:spacing w:val="-2"/>
                <w:sz w:val="18"/>
                <w:lang w:val="en-GB"/>
              </w:rPr>
            </w:pPr>
          </w:p>
          <w:p w:rsidRPr="00294763" w:rsidR="00BA585D" w:rsidP="00373C7D" w:rsidRDefault="00BA585D" w14:paraId="4A284EC8"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lang w:val="en-GB"/>
              </w:rPr>
              <w:t>2023</w:t>
            </w:r>
          </w:p>
        </w:tc>
        <w:tc>
          <w:tcPr>
            <w:tcW w:w="2891" w:type="dxa"/>
          </w:tcPr>
          <w:p w:rsidRPr="00294763" w:rsidR="00BA585D" w:rsidP="00373C7D" w:rsidRDefault="00BA585D" w14:paraId="0763183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7FA59DDE" w14:textId="77777777">
            <w:pPr>
              <w:pStyle w:val="TableCell"/>
              <w:keepNext w:val="0"/>
              <w:keepLines w:val="0"/>
              <w:widowControl w:val="0"/>
              <w:jc w:val="left"/>
              <w:rPr>
                <w:color w:val="0D0D0D" w:themeColor="text1" w:themeTint="F2"/>
                <w:spacing w:val="-2"/>
                <w:sz w:val="18"/>
              </w:rPr>
            </w:pPr>
          </w:p>
        </w:tc>
      </w:tr>
      <w:tr w:rsidRPr="00294763" w:rsidR="00BA585D" w:rsidTr="00373C7D" w14:paraId="48322BE8"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7BBD4214"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269CE850"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6C890007"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Improve coverage of emission sources</w:t>
            </w:r>
          </w:p>
        </w:tc>
        <w:tc>
          <w:tcPr>
            <w:tcW w:w="3686" w:type="dxa"/>
          </w:tcPr>
          <w:p w:rsidRPr="00294763" w:rsidR="00BA585D" w:rsidP="00373C7D" w:rsidRDefault="00BA585D" w14:paraId="5ED30ADF"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 xml:space="preserve">Develop methodology for estimating emissions from international maritime transport, </w:t>
            </w:r>
            <w:r w:rsidRPr="00294763">
              <w:rPr>
                <w:color w:val="0D0D0D" w:themeColor="text1" w:themeTint="F2"/>
                <w:spacing w:val="-2"/>
                <w:sz w:val="18"/>
              </w:rPr>
              <w:t>residence</w:t>
            </w:r>
            <w:r w:rsidRPr="00294763">
              <w:rPr>
                <w:color w:val="0D0D0D" w:themeColor="text1" w:themeTint="F2"/>
                <w:spacing w:val="-2"/>
                <w:sz w:val="18"/>
                <w:lang w:val="en-GB"/>
              </w:rPr>
              <w:t xml:space="preserve"> basis.</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6154F071"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Q2 2023</w:t>
            </w:r>
          </w:p>
          <w:p w:rsidRPr="00294763" w:rsidR="00BA585D" w:rsidP="00373C7D" w:rsidRDefault="00BA585D" w14:paraId="1298FA51" w14:textId="77777777">
            <w:pPr>
              <w:pStyle w:val="TableCell"/>
              <w:keepNext w:val="0"/>
              <w:keepLines w:val="0"/>
              <w:widowControl w:val="0"/>
              <w:jc w:val="left"/>
              <w:rPr>
                <w:color w:val="0D0D0D" w:themeColor="text1" w:themeTint="F2"/>
                <w:spacing w:val="-2"/>
                <w:sz w:val="18"/>
              </w:rPr>
            </w:pPr>
          </w:p>
        </w:tc>
        <w:tc>
          <w:tcPr>
            <w:tcW w:w="2891" w:type="dxa"/>
          </w:tcPr>
          <w:p w:rsidRPr="00294763" w:rsidR="00BA585D" w:rsidP="00373C7D" w:rsidRDefault="00BA585D" w14:paraId="11C7B20C"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350627D0" w14:textId="77777777">
            <w:pPr>
              <w:pStyle w:val="TableCell"/>
              <w:keepNext w:val="0"/>
              <w:keepLines w:val="0"/>
              <w:widowControl w:val="0"/>
              <w:jc w:val="left"/>
              <w:rPr>
                <w:color w:val="0D0D0D" w:themeColor="text1" w:themeTint="F2"/>
                <w:spacing w:val="-2"/>
                <w:sz w:val="18"/>
              </w:rPr>
            </w:pPr>
          </w:p>
        </w:tc>
      </w:tr>
      <w:tr w:rsidRPr="00294763" w:rsidR="00BA585D" w:rsidTr="00373C7D" w14:paraId="457B4155"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7CB38D9"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5A50C74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67FAD972"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Maintain global OECD database</w:t>
            </w:r>
          </w:p>
        </w:tc>
        <w:tc>
          <w:tcPr>
            <w:tcW w:w="3686" w:type="dxa"/>
            <w:tcBorders>
              <w:bottom w:val="nil"/>
            </w:tcBorders>
          </w:tcPr>
          <w:p w:rsidRPr="00294763" w:rsidR="00BA585D" w:rsidP="00373C7D" w:rsidRDefault="00BA585D" w14:paraId="1D74C9A6"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 xml:space="preserve">Maintain annual </w:t>
            </w:r>
            <w:r w:rsidRPr="00294763">
              <w:rPr>
                <w:color w:val="0D0D0D" w:themeColor="text1" w:themeTint="F2"/>
                <w:spacing w:val="-2"/>
                <w:sz w:val="18"/>
              </w:rPr>
              <w:t>updates</w:t>
            </w:r>
            <w:r w:rsidRPr="00294763">
              <w:rPr>
                <w:color w:val="0D0D0D" w:themeColor="text1" w:themeTint="F2"/>
                <w:spacing w:val="-2"/>
                <w:sz w:val="18"/>
                <w:lang w:val="en-GB"/>
              </w:rPr>
              <w:t xml:space="preserve"> of global compilation and estimation.</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2468B9FA"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lang w:val="en-GB"/>
              </w:rPr>
              <w:t>Ongoing</w:t>
            </w:r>
          </w:p>
        </w:tc>
        <w:tc>
          <w:tcPr>
            <w:tcW w:w="2891" w:type="dxa"/>
          </w:tcPr>
          <w:p w:rsidRPr="00294763" w:rsidR="00BA585D" w:rsidP="00373C7D" w:rsidRDefault="00BA585D" w14:paraId="60B36909"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5DD16778" w14:textId="77777777">
            <w:pPr>
              <w:pStyle w:val="TableCell"/>
              <w:keepNext w:val="0"/>
              <w:keepLines w:val="0"/>
              <w:widowControl w:val="0"/>
              <w:jc w:val="left"/>
              <w:rPr>
                <w:color w:val="0D0D0D" w:themeColor="text1" w:themeTint="F2"/>
                <w:spacing w:val="-2"/>
                <w:sz w:val="18"/>
              </w:rPr>
            </w:pPr>
          </w:p>
        </w:tc>
      </w:tr>
      <w:tr w:rsidRPr="00294763" w:rsidR="00BA585D" w:rsidTr="00373C7D" w14:paraId="0C7071E7"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4863272"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4B4A0DB7"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Borders>
              <w:bottom w:val="single" w:color="auto" w:sz="6" w:space="0"/>
            </w:tcBorders>
          </w:tcPr>
          <w:p w:rsidRPr="00294763" w:rsidR="00BA585D" w:rsidP="00373C7D" w:rsidRDefault="00BA585D" w14:paraId="72FCF833"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Carry out further research</w:t>
            </w:r>
          </w:p>
        </w:tc>
        <w:tc>
          <w:tcPr>
            <w:tcW w:w="3686" w:type="dxa"/>
            <w:tcBorders>
              <w:top w:val="nil"/>
              <w:bottom w:val="single" w:color="auto" w:sz="6" w:space="0"/>
            </w:tcBorders>
          </w:tcPr>
          <w:p w:rsidRPr="00294763" w:rsidR="00BA585D" w:rsidP="00373C7D" w:rsidRDefault="00BA585D" w14:paraId="6DCAAABF"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lang w:val="en-GB"/>
              </w:rPr>
            </w:pPr>
            <w:r w:rsidRPr="00294763">
              <w:rPr>
                <w:color w:val="0D0D0D" w:themeColor="text1" w:themeTint="F2"/>
                <w:spacing w:val="-2"/>
                <w:sz w:val="18"/>
                <w:lang w:val="en-GB"/>
              </w:rPr>
              <w:t xml:space="preserve">Potential further </w:t>
            </w:r>
            <w:r w:rsidRPr="00294763">
              <w:rPr>
                <w:color w:val="0D0D0D" w:themeColor="text1" w:themeTint="F2"/>
                <w:spacing w:val="-2"/>
                <w:sz w:val="18"/>
              </w:rPr>
              <w:t>research</w:t>
            </w:r>
            <w:r w:rsidRPr="00294763">
              <w:rPr>
                <w:color w:val="0D0D0D" w:themeColor="text1" w:themeTint="F2"/>
                <w:spacing w:val="-2"/>
                <w:sz w:val="18"/>
                <w:lang w:val="en-GB"/>
              </w:rPr>
              <w:t xml:space="preserve"> areas: LULUCF</w:t>
            </w:r>
            <w:r>
              <w:rPr>
                <w:color w:val="0D0D0D" w:themeColor="text1" w:themeTint="F2"/>
                <w:spacing w:val="-2"/>
                <w:sz w:val="18"/>
                <w:lang w:val="en-GB"/>
              </w:rPr>
              <w:t>, road transport</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tcPr>
          <w:p w:rsidRPr="00294763" w:rsidR="00BA585D" w:rsidP="00373C7D" w:rsidRDefault="00BA585D" w14:paraId="130542B9"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lang w:val="en-GB"/>
              </w:rPr>
              <w:t>2023-24(?)</w:t>
            </w:r>
          </w:p>
        </w:tc>
        <w:tc>
          <w:tcPr>
            <w:tcW w:w="2891" w:type="dxa"/>
            <w:tcBorders>
              <w:bottom w:val="single" w:color="auto" w:sz="6" w:space="0"/>
            </w:tcBorders>
          </w:tcPr>
          <w:p w:rsidRPr="00294763" w:rsidR="00BA585D" w:rsidP="00373C7D" w:rsidRDefault="00BA585D" w14:paraId="4BDD64E2"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Borders>
              <w:bottom w:val="single" w:color="auto" w:sz="6" w:space="0"/>
            </w:tcBorders>
          </w:tcPr>
          <w:p w:rsidRPr="00294763" w:rsidR="00BA585D" w:rsidP="00373C7D" w:rsidRDefault="00BA585D" w14:paraId="07741C5B" w14:textId="77777777">
            <w:pPr>
              <w:pStyle w:val="TableCell"/>
              <w:keepNext w:val="0"/>
              <w:keepLines w:val="0"/>
              <w:widowControl w:val="0"/>
              <w:jc w:val="left"/>
              <w:rPr>
                <w:color w:val="0D0D0D" w:themeColor="text1" w:themeTint="F2"/>
                <w:spacing w:val="-2"/>
                <w:sz w:val="18"/>
              </w:rPr>
            </w:pPr>
          </w:p>
        </w:tc>
      </w:tr>
      <w:tr w:rsidRPr="00294763" w:rsidR="00BA585D" w:rsidTr="00373C7D" w14:paraId="3481B0AA" w14:textId="77777777">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hideMark/>
          </w:tcPr>
          <w:p w:rsidRPr="00294763" w:rsidR="00BA585D" w:rsidP="00373C7D" w:rsidRDefault="00BA585D" w14:paraId="50CE7027" w14:textId="77777777">
            <w:pPr>
              <w:pStyle w:val="TableRow"/>
              <w:keepNext w:val="0"/>
              <w:keepLines w:val="0"/>
              <w:widowControl w:val="0"/>
              <w:rPr>
                <w:color w:val="0D0D0D" w:themeColor="text1" w:themeTint="F2"/>
                <w:spacing w:val="-2"/>
                <w:sz w:val="18"/>
                <w:lang w:val="en-GB"/>
              </w:rPr>
            </w:pPr>
            <w:r w:rsidRPr="00294763">
              <w:rPr>
                <w:b/>
                <w:color w:val="0D0D0D" w:themeColor="text1" w:themeTint="F2"/>
                <w:spacing w:val="-2"/>
                <w:sz w:val="18"/>
                <w:lang w:val="en-GB"/>
              </w:rPr>
              <w:t>Energy</w:t>
            </w:r>
          </w:p>
        </w:tc>
        <w:tc>
          <w:tcPr>
            <w:tcW w:w="1417" w:type="dxa"/>
            <w:vMerge w:val="restart"/>
            <w:tcBorders>
              <w:top w:val="single" w:color="auto" w:sz="6" w:space="0"/>
            </w:tcBorders>
            <w:hideMark/>
          </w:tcPr>
          <w:p w:rsidRPr="00294763" w:rsidR="00BA585D" w:rsidP="00373C7D" w:rsidRDefault="00BA585D" w14:paraId="1AB15BB7"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b/>
                <w:color w:val="0D0D0D" w:themeColor="text1" w:themeTint="F2"/>
                <w:spacing w:val="-2"/>
                <w:sz w:val="18"/>
                <w:lang w:val="en-GB"/>
              </w:rPr>
              <w:t>UNSD</w:t>
            </w:r>
            <w:r w:rsidRPr="00294763">
              <w:rPr>
                <w:color w:val="0D0D0D" w:themeColor="text1" w:themeTint="F2"/>
                <w:spacing w:val="-2"/>
                <w:sz w:val="18"/>
                <w:lang w:val="en-GB"/>
              </w:rPr>
              <w:br/>
            </w:r>
            <w:r w:rsidRPr="00294763">
              <w:rPr>
                <w:color w:val="0D0D0D" w:themeColor="text1" w:themeTint="F2"/>
                <w:spacing w:val="-2"/>
                <w:sz w:val="18"/>
                <w:lang w:val="en-GB"/>
              </w:rPr>
              <w:t xml:space="preserve">(with Eurostat and </w:t>
            </w:r>
            <w:r>
              <w:rPr>
                <w:color w:val="0D0D0D" w:themeColor="text1" w:themeTint="F2"/>
                <w:spacing w:val="-2"/>
                <w:sz w:val="18"/>
                <w:lang w:val="en-GB"/>
              </w:rPr>
              <w:t>OECD</w:t>
            </w:r>
            <w:r w:rsidRPr="00294763">
              <w:rPr>
                <w:color w:val="0D0D0D" w:themeColor="text1" w:themeTint="F2"/>
                <w:spacing w:val="-2"/>
                <w:sz w:val="18"/>
                <w:lang w:val="en-GB"/>
              </w:rPr>
              <w:t>)</w:t>
            </w:r>
          </w:p>
          <w:p w:rsidRPr="00294763" w:rsidR="00BA585D" w:rsidP="00373C7D" w:rsidRDefault="00BA585D" w14:paraId="21184344"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2496" w:type="dxa"/>
            <w:tcBorders>
              <w:top w:val="single" w:color="auto" w:sz="6" w:space="0"/>
            </w:tcBorders>
          </w:tcPr>
          <w:p w:rsidRPr="00294763" w:rsidR="00BA585D" w:rsidP="00373C7D" w:rsidRDefault="00BA585D" w14:paraId="3AD93BA1"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Finalise the estimation methodology</w:t>
            </w:r>
          </w:p>
        </w:tc>
        <w:tc>
          <w:tcPr>
            <w:tcW w:w="3686" w:type="dxa"/>
            <w:tcBorders>
              <w:top w:val="single" w:color="auto" w:sz="6" w:space="0"/>
            </w:tcBorders>
            <w:hideMark/>
          </w:tcPr>
          <w:p w:rsidRPr="00294763" w:rsidR="00BA585D" w:rsidP="00373C7D" w:rsidRDefault="00BA585D" w14:paraId="3AD1649C"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u w:val="single"/>
                <w:lang w:val="en-GB"/>
              </w:rPr>
              <w:t>Estimation methodology</w:t>
            </w:r>
            <w:r w:rsidRPr="00294763">
              <w:rPr>
                <w:color w:val="0D0D0D" w:themeColor="text1" w:themeTint="F2"/>
                <w:spacing w:val="-2"/>
                <w:sz w:val="18"/>
                <w:lang w:val="en-GB"/>
              </w:rPr>
              <w:t>:</w:t>
            </w:r>
          </w:p>
          <w:p w:rsidRPr="00294763" w:rsidR="00BA585D" w:rsidP="00373C7D" w:rsidRDefault="00BA585D" w14:paraId="0E0D7557"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Pr>
                <w:color w:val="0D0D0D" w:themeColor="text1" w:themeTint="F2"/>
                <w:spacing w:val="-2"/>
                <w:sz w:val="18"/>
                <w:lang w:val="en-GB"/>
              </w:rPr>
              <w:t>Further exploration of estimation methodologies for accounts derived from energy balances</w:t>
            </w: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tcPr>
          <w:p w:rsidRPr="00294763" w:rsidR="00BA585D" w:rsidP="00373C7D" w:rsidRDefault="00BA585D" w14:paraId="355B34B7"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Medium term</w:t>
            </w:r>
          </w:p>
        </w:tc>
        <w:tc>
          <w:tcPr>
            <w:tcW w:w="2891" w:type="dxa"/>
            <w:tcBorders>
              <w:top w:val="single" w:color="auto" w:sz="6" w:space="0"/>
            </w:tcBorders>
          </w:tcPr>
          <w:p w:rsidRPr="00294763" w:rsidR="00BA585D" w:rsidP="00373C7D" w:rsidRDefault="00BA585D" w14:paraId="07022D78"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A: climate indicators</w:t>
            </w:r>
          </w:p>
        </w:tc>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tcPr>
          <w:p w:rsidRPr="00294763" w:rsidR="00BA585D" w:rsidP="00373C7D" w:rsidRDefault="00BA585D" w14:paraId="79971807"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climate indicators</w:t>
            </w:r>
          </w:p>
        </w:tc>
      </w:tr>
      <w:tr w:rsidRPr="00294763" w:rsidR="00BA585D" w:rsidTr="00373C7D" w14:paraId="5A4C20D5"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6E6347CA" w14:textId="77777777">
            <w:pPr>
              <w:widowControl w:val="0"/>
              <w:spacing w:line="240" w:lineRule="auto"/>
              <w:rPr>
                <w:rFonts w:ascii="Arial Narrow" w:hAnsi="Arial Narrow"/>
                <w:color w:val="0D0D0D" w:themeColor="text1" w:themeTint="F2"/>
                <w:spacing w:val="-2"/>
                <w:sz w:val="18"/>
                <w:szCs w:val="18"/>
                <w:lang w:val="en-GB"/>
              </w:rPr>
            </w:pPr>
          </w:p>
        </w:tc>
        <w:tc>
          <w:tcPr>
            <w:tcW w:w="1417" w:type="dxa"/>
            <w:vMerge/>
            <w:hideMark/>
          </w:tcPr>
          <w:p w:rsidRPr="00294763" w:rsidR="00BA585D" w:rsidP="00373C7D" w:rsidRDefault="00BA585D" w14:paraId="71C60F02"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496" w:type="dxa"/>
            <w:vMerge w:val="restart"/>
          </w:tcPr>
          <w:p w:rsidRPr="00294763" w:rsidR="00BA585D" w:rsidP="00373C7D" w:rsidRDefault="00BA585D" w14:paraId="563ABF07"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Establish and maintain global database</w:t>
            </w:r>
          </w:p>
        </w:tc>
        <w:tc>
          <w:tcPr>
            <w:tcW w:w="3686" w:type="dxa"/>
            <w:tcBorders>
              <w:bottom w:val="nil"/>
            </w:tcBorders>
            <w:hideMark/>
          </w:tcPr>
          <w:p w:rsidRPr="00294763" w:rsidR="00BA585D" w:rsidP="00373C7D" w:rsidRDefault="00BA585D" w14:paraId="26BF60C3"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u w:val="single"/>
                <w:lang w:val="en-GB"/>
              </w:rPr>
              <w:t>SEEA database</w:t>
            </w:r>
            <w:r w:rsidRPr="00294763">
              <w:rPr>
                <w:color w:val="0D0D0D" w:themeColor="text1" w:themeTint="F2"/>
                <w:spacing w:val="-2"/>
                <w:sz w:val="18"/>
                <w:lang w:val="en-GB"/>
              </w:rPr>
              <w:t xml:space="preserve"> </w:t>
            </w:r>
          </w:p>
        </w:tc>
        <w:tc>
          <w:tcPr>
            <w:cnfStyle w:val="000010000000" w:firstRow="0" w:lastRow="0" w:firstColumn="0" w:lastColumn="0" w:oddVBand="1" w:evenVBand="0" w:oddHBand="0" w:evenHBand="0" w:firstRowFirstColumn="0" w:firstRowLastColumn="0" w:lastRowFirstColumn="0" w:lastRowLastColumn="0"/>
            <w:tcW w:w="1134" w:type="dxa"/>
            <w:hideMark/>
          </w:tcPr>
          <w:p w:rsidRPr="00294763" w:rsidR="00BA585D" w:rsidP="00373C7D" w:rsidRDefault="00BA585D" w14:paraId="16EFDDED" w14:textId="77777777">
            <w:pPr>
              <w:pStyle w:val="TableCell"/>
              <w:keepNext w:val="0"/>
              <w:keepLines w:val="0"/>
              <w:widowControl w:val="0"/>
              <w:jc w:val="left"/>
              <w:rPr>
                <w:color w:val="0D0D0D" w:themeColor="text1" w:themeTint="F2"/>
                <w:spacing w:val="-2"/>
                <w:sz w:val="18"/>
                <w:lang w:val="en-GB"/>
              </w:rPr>
            </w:pPr>
          </w:p>
        </w:tc>
        <w:tc>
          <w:tcPr>
            <w:tcW w:w="2891" w:type="dxa"/>
          </w:tcPr>
          <w:p w:rsidRPr="00294763" w:rsidR="00BA585D" w:rsidP="00373C7D" w:rsidRDefault="00BA585D" w14:paraId="0B2192B6"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205F9C8" w14:textId="77777777">
            <w:pPr>
              <w:pStyle w:val="TableCell"/>
              <w:keepNext w:val="0"/>
              <w:keepLines w:val="0"/>
              <w:widowControl w:val="0"/>
              <w:jc w:val="left"/>
              <w:rPr>
                <w:color w:val="0D0D0D" w:themeColor="text1" w:themeTint="F2"/>
                <w:spacing w:val="-2"/>
                <w:sz w:val="18"/>
              </w:rPr>
            </w:pPr>
          </w:p>
        </w:tc>
      </w:tr>
      <w:tr w:rsidRPr="00294763" w:rsidR="00BA585D" w:rsidTr="00373C7D" w14:paraId="388B03D2"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3594678B" w14:textId="77777777">
            <w:pPr>
              <w:widowControl w:val="0"/>
              <w:spacing w:line="240" w:lineRule="auto"/>
              <w:rPr>
                <w:rFonts w:ascii="Arial Narrow" w:hAnsi="Arial Narrow"/>
                <w:color w:val="0D0D0D" w:themeColor="text1" w:themeTint="F2"/>
                <w:spacing w:val="-2"/>
                <w:sz w:val="18"/>
                <w:szCs w:val="18"/>
              </w:rPr>
            </w:pPr>
          </w:p>
        </w:tc>
        <w:tc>
          <w:tcPr>
            <w:tcW w:w="1417" w:type="dxa"/>
            <w:vMerge/>
          </w:tcPr>
          <w:p w:rsidRPr="00294763" w:rsidR="00BA585D" w:rsidP="00373C7D" w:rsidRDefault="00BA585D" w14:paraId="19550302"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6D613073" w14:textId="77777777">
            <w:pPr>
              <w:pStyle w:val="TableCell"/>
              <w:keepNext w:val="0"/>
              <w:keepLines w:val="0"/>
              <w:widowControl w:val="0"/>
              <w:jc w:val="left"/>
              <w:rPr>
                <w:color w:val="0D0D0D" w:themeColor="text1" w:themeTint="F2"/>
                <w:spacing w:val="-2"/>
                <w:sz w:val="18"/>
              </w:rPr>
            </w:pPr>
          </w:p>
        </w:tc>
        <w:tc>
          <w:tcPr>
            <w:tcW w:w="3686" w:type="dxa"/>
            <w:tcBorders>
              <w:bottom w:val="nil"/>
            </w:tcBorders>
            <w:tcMar>
              <w:right w:w="0" w:type="dxa"/>
            </w:tcMar>
          </w:tcPr>
          <w:p w:rsidRPr="00294763" w:rsidR="00BA585D" w:rsidP="00373C7D" w:rsidRDefault="00BA585D" w14:paraId="448CABFB" w14:textId="08ED9CEE">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 xml:space="preserve">Develop common data </w:t>
            </w:r>
            <w:r w:rsidR="007C7163">
              <w:rPr>
                <w:color w:val="0D0D0D" w:themeColor="text1" w:themeTint="F2"/>
                <w:spacing w:val="-2"/>
                <w:sz w:val="18"/>
              </w:rPr>
              <w:t>questionnaire</w:t>
            </w:r>
            <w:r w:rsidRPr="00294763">
              <w:rPr>
                <w:color w:val="0D0D0D" w:themeColor="text1" w:themeTint="F2"/>
                <w:spacing w:val="-2"/>
                <w:sz w:val="18"/>
              </w:rPr>
              <w:t xml:space="preserve"> for national reporting</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63AE8DEE"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Completed</w:t>
            </w:r>
          </w:p>
        </w:tc>
        <w:tc>
          <w:tcPr>
            <w:tcW w:w="2891" w:type="dxa"/>
          </w:tcPr>
          <w:p w:rsidRPr="00294763" w:rsidR="00BA585D" w:rsidP="00373C7D" w:rsidRDefault="00BA585D" w14:paraId="3A87C3D2"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05701966" w14:textId="77777777">
            <w:pPr>
              <w:pStyle w:val="TableCell"/>
              <w:keepNext w:val="0"/>
              <w:keepLines w:val="0"/>
              <w:widowControl w:val="0"/>
              <w:jc w:val="left"/>
              <w:rPr>
                <w:color w:val="0D0D0D" w:themeColor="text1" w:themeTint="F2"/>
                <w:spacing w:val="-2"/>
                <w:sz w:val="18"/>
              </w:rPr>
            </w:pPr>
          </w:p>
        </w:tc>
      </w:tr>
      <w:tr w:rsidRPr="00294763" w:rsidR="00BA585D" w:rsidTr="00373C7D" w14:paraId="7A2B45F3"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81E57BF" w14:textId="77777777">
            <w:pPr>
              <w:widowControl w:val="0"/>
              <w:spacing w:line="240" w:lineRule="auto"/>
              <w:rPr>
                <w:rFonts w:ascii="Arial Narrow" w:hAnsi="Arial Narrow"/>
                <w:color w:val="0D0D0D" w:themeColor="text1" w:themeTint="F2"/>
                <w:spacing w:val="-2"/>
                <w:sz w:val="18"/>
                <w:szCs w:val="18"/>
              </w:rPr>
            </w:pPr>
          </w:p>
        </w:tc>
        <w:tc>
          <w:tcPr>
            <w:tcW w:w="1417" w:type="dxa"/>
            <w:vMerge/>
          </w:tcPr>
          <w:p w:rsidRPr="00294763" w:rsidR="00BA585D" w:rsidP="00373C7D" w:rsidRDefault="00BA585D" w14:paraId="4F1906AA"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0E217E27" w14:textId="77777777">
            <w:pPr>
              <w:pStyle w:val="TableCell"/>
              <w:keepNext w:val="0"/>
              <w:keepLines w:val="0"/>
              <w:widowControl w:val="0"/>
              <w:jc w:val="left"/>
              <w:rPr>
                <w:color w:val="0D0D0D" w:themeColor="text1" w:themeTint="F2"/>
                <w:spacing w:val="-2"/>
                <w:sz w:val="18"/>
              </w:rPr>
            </w:pPr>
          </w:p>
        </w:tc>
        <w:tc>
          <w:tcPr>
            <w:tcW w:w="3686" w:type="dxa"/>
            <w:tcBorders>
              <w:bottom w:val="nil"/>
            </w:tcBorders>
            <w:tcMar>
              <w:right w:w="0" w:type="dxa"/>
            </w:tcMar>
          </w:tcPr>
          <w:p w:rsidRPr="00294763" w:rsidR="00BA585D" w:rsidP="00373C7D" w:rsidRDefault="00BA585D" w14:paraId="35F16234"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rPr>
            </w:pPr>
            <w:r w:rsidRPr="00294763">
              <w:rPr>
                <w:color w:val="0D0D0D" w:themeColor="text1" w:themeTint="F2"/>
                <w:spacing w:val="-2"/>
                <w:sz w:val="18"/>
              </w:rPr>
              <w:t>Establish regular data collection</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08513C09"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2023</w:t>
            </w:r>
          </w:p>
        </w:tc>
        <w:tc>
          <w:tcPr>
            <w:tcW w:w="2891" w:type="dxa"/>
          </w:tcPr>
          <w:p w:rsidRPr="00294763" w:rsidR="00BA585D" w:rsidP="00373C7D" w:rsidRDefault="00BA585D" w14:paraId="2F78E243"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B8CF8A2" w14:textId="77777777">
            <w:pPr>
              <w:pStyle w:val="TableCell"/>
              <w:keepNext w:val="0"/>
              <w:keepLines w:val="0"/>
              <w:widowControl w:val="0"/>
              <w:jc w:val="left"/>
              <w:rPr>
                <w:color w:val="0D0D0D" w:themeColor="text1" w:themeTint="F2"/>
                <w:spacing w:val="-2"/>
                <w:sz w:val="18"/>
              </w:rPr>
            </w:pPr>
          </w:p>
        </w:tc>
      </w:tr>
      <w:tr w:rsidRPr="00294763" w:rsidR="00BA585D" w:rsidTr="00373C7D" w14:paraId="32E7661D"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69277914" w14:textId="77777777">
            <w:pPr>
              <w:widowControl w:val="0"/>
              <w:spacing w:line="240" w:lineRule="auto"/>
              <w:rPr>
                <w:rFonts w:ascii="Arial Narrow" w:hAnsi="Arial Narrow"/>
                <w:color w:val="0D0D0D" w:themeColor="text1" w:themeTint="F2"/>
                <w:spacing w:val="-2"/>
                <w:sz w:val="18"/>
                <w:szCs w:val="18"/>
              </w:rPr>
            </w:pPr>
          </w:p>
        </w:tc>
        <w:tc>
          <w:tcPr>
            <w:tcW w:w="1417" w:type="dxa"/>
            <w:vMerge/>
          </w:tcPr>
          <w:p w:rsidRPr="00294763" w:rsidR="00BA585D" w:rsidP="00373C7D" w:rsidRDefault="00BA585D" w14:paraId="2A5CF392"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4AF8F2D1" w14:textId="77777777">
            <w:pPr>
              <w:pStyle w:val="TableCell"/>
              <w:keepNext w:val="0"/>
              <w:keepLines w:val="0"/>
              <w:widowControl w:val="0"/>
              <w:jc w:val="left"/>
              <w:rPr>
                <w:color w:val="0D0D0D" w:themeColor="text1" w:themeTint="F2"/>
                <w:spacing w:val="-2"/>
                <w:sz w:val="18"/>
              </w:rPr>
            </w:pPr>
          </w:p>
        </w:tc>
        <w:tc>
          <w:tcPr>
            <w:tcW w:w="3686" w:type="dxa"/>
            <w:tcBorders>
              <w:bottom w:val="nil"/>
            </w:tcBorders>
            <w:tcMar>
              <w:right w:w="0" w:type="dxa"/>
            </w:tcMar>
          </w:tcPr>
          <w:p w:rsidRPr="00294763" w:rsidR="00BA585D" w:rsidP="00373C7D" w:rsidRDefault="00BA585D" w14:paraId="4B882067" w14:textId="77777777">
            <w:pPr>
              <w:pStyle w:val="TableCellBullet"/>
              <w:keepNext w:val="0"/>
              <w:keepLines w:val="0"/>
              <w:widowControl w:val="0"/>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rPr>
            </w:pP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tcPr>
          <w:p w:rsidRPr="00294763" w:rsidR="00BA585D" w:rsidP="00373C7D" w:rsidRDefault="00BA585D" w14:paraId="404FFF83" w14:textId="77777777">
            <w:pPr>
              <w:pStyle w:val="TableCell"/>
              <w:keepNext w:val="0"/>
              <w:keepLines w:val="0"/>
              <w:widowControl w:val="0"/>
              <w:jc w:val="left"/>
              <w:rPr>
                <w:color w:val="0D0D0D" w:themeColor="text1" w:themeTint="F2"/>
                <w:spacing w:val="-2"/>
                <w:sz w:val="18"/>
              </w:rPr>
            </w:pPr>
          </w:p>
        </w:tc>
        <w:tc>
          <w:tcPr>
            <w:tcW w:w="2891" w:type="dxa"/>
          </w:tcPr>
          <w:p w:rsidRPr="00294763" w:rsidR="00BA585D" w:rsidP="00373C7D" w:rsidRDefault="00BA585D" w14:paraId="580A143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15B74539" w14:textId="77777777">
            <w:pPr>
              <w:pStyle w:val="TableCell"/>
              <w:keepNext w:val="0"/>
              <w:keepLines w:val="0"/>
              <w:widowControl w:val="0"/>
              <w:jc w:val="left"/>
              <w:rPr>
                <w:color w:val="0D0D0D" w:themeColor="text1" w:themeTint="F2"/>
                <w:spacing w:val="-2"/>
                <w:sz w:val="18"/>
              </w:rPr>
            </w:pPr>
          </w:p>
        </w:tc>
      </w:tr>
      <w:tr w:rsidRPr="00294763" w:rsidR="00BA585D" w:rsidTr="00373C7D" w14:paraId="21D0F8BB" w14:textId="77777777">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hideMark/>
          </w:tcPr>
          <w:p w:rsidRPr="00294763" w:rsidR="00BA585D" w:rsidP="00373C7D" w:rsidRDefault="00BA585D" w14:paraId="7245282B" w14:textId="77777777">
            <w:pPr>
              <w:pStyle w:val="TableRow"/>
              <w:keepNext w:val="0"/>
              <w:keepLines w:val="0"/>
              <w:widowControl w:val="0"/>
              <w:rPr>
                <w:b/>
                <w:color w:val="0D0D0D" w:themeColor="text1" w:themeTint="F2"/>
                <w:spacing w:val="-2"/>
                <w:sz w:val="18"/>
                <w:lang w:val="en-GB"/>
              </w:rPr>
            </w:pPr>
            <w:r w:rsidRPr="00294763">
              <w:rPr>
                <w:b/>
                <w:color w:val="0D0D0D" w:themeColor="text1" w:themeTint="F2"/>
                <w:spacing w:val="-2"/>
                <w:sz w:val="18"/>
                <w:lang w:val="en-GB"/>
              </w:rPr>
              <w:t>Economy-wide material flows (EW-MFA)</w:t>
            </w:r>
          </w:p>
        </w:tc>
        <w:tc>
          <w:tcPr>
            <w:tcW w:w="1417" w:type="dxa"/>
            <w:vMerge w:val="restart"/>
            <w:tcBorders>
              <w:top w:val="single" w:color="auto" w:sz="6" w:space="0"/>
            </w:tcBorders>
            <w:hideMark/>
          </w:tcPr>
          <w:p w:rsidRPr="00294763" w:rsidR="00BA585D" w:rsidP="00373C7D" w:rsidRDefault="00BA585D" w14:paraId="6222FE5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b/>
                <w:bCs/>
                <w:color w:val="0D0D0D" w:themeColor="text1" w:themeTint="F2"/>
                <w:spacing w:val="-2"/>
                <w:sz w:val="18"/>
                <w:lang w:val="en-GB"/>
              </w:rPr>
              <w:t xml:space="preserve">UNEP </w:t>
            </w:r>
            <w:r w:rsidRPr="00294763">
              <w:rPr>
                <w:color w:val="0D0D0D" w:themeColor="text1" w:themeTint="F2"/>
                <w:spacing w:val="-2"/>
                <w:sz w:val="18"/>
                <w:lang w:val="en-GB"/>
              </w:rPr>
              <w:br/>
            </w:r>
            <w:r w:rsidRPr="737338A0">
              <w:rPr>
                <w:color w:val="0D0D0D" w:themeColor="text1" w:themeTint="F2"/>
                <w:spacing w:val="-2"/>
                <w:sz w:val="18"/>
                <w:lang w:val="en-GB"/>
              </w:rPr>
              <w:t>(with Eurostat and OECD)</w:t>
            </w:r>
          </w:p>
        </w:tc>
        <w:tc>
          <w:tcPr>
            <w:cnfStyle w:val="000010000000" w:firstRow="0" w:lastRow="0" w:firstColumn="0" w:lastColumn="0" w:oddVBand="1" w:evenVBand="0" w:oddHBand="0" w:evenHBand="0" w:firstRowFirstColumn="0" w:firstRowLastColumn="0" w:lastRowFirstColumn="0" w:lastRowLastColumn="0"/>
            <w:tcW w:w="2496" w:type="dxa"/>
            <w:vMerge w:val="restart"/>
            <w:tcBorders>
              <w:top w:val="single" w:color="auto" w:sz="6" w:space="0"/>
            </w:tcBorders>
          </w:tcPr>
          <w:p w:rsidRPr="00294763" w:rsidR="00BA585D" w:rsidP="00373C7D" w:rsidRDefault="00BA585D" w14:paraId="73835DA3"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Maintain and further develop the global database</w:t>
            </w:r>
          </w:p>
        </w:tc>
        <w:tc>
          <w:tcPr>
            <w:tcW w:w="3686" w:type="dxa"/>
            <w:tcBorders>
              <w:top w:val="single" w:color="auto" w:sz="6" w:space="0"/>
            </w:tcBorders>
            <w:hideMark/>
          </w:tcPr>
          <w:p w:rsidRPr="00294763" w:rsidR="00BA585D" w:rsidP="00373C7D" w:rsidRDefault="00BA585D" w14:paraId="11AC2BDB"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color w:val="0D0D0D" w:themeColor="text1" w:themeTint="F2"/>
                <w:spacing w:val="-2"/>
                <w:sz w:val="18"/>
                <w:lang w:val="en-GB"/>
              </w:rPr>
              <w:t xml:space="preserve">UNEP/IRP </w:t>
            </w:r>
            <w:r w:rsidRPr="737338A0">
              <w:rPr>
                <w:color w:val="0D0D0D" w:themeColor="text1" w:themeTint="F2"/>
                <w:spacing w:val="-2"/>
                <w:sz w:val="18"/>
                <w:u w:val="single"/>
                <w:lang w:val="en-GB"/>
              </w:rPr>
              <w:t>global material flow database</w:t>
            </w:r>
            <w:r w:rsidRPr="737338A0">
              <w:rPr>
                <w:color w:val="0D0D0D" w:themeColor="text1" w:themeTint="F2"/>
                <w:spacing w:val="-2"/>
                <w:sz w:val="18"/>
                <w:lang w:val="en-GB"/>
              </w:rPr>
              <w:t xml:space="preserve"> (updated Dec. 2021, frequency every two years)</w:t>
            </w: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tcPr>
          <w:p w:rsidRPr="00294763" w:rsidR="00BA585D" w:rsidP="00373C7D" w:rsidRDefault="00BA585D" w14:paraId="151B2AEE" w14:textId="77777777">
            <w:pPr>
              <w:pStyle w:val="TableCell"/>
              <w:keepNext w:val="0"/>
              <w:keepLines w:val="0"/>
              <w:widowControl w:val="0"/>
              <w:jc w:val="left"/>
              <w:rPr>
                <w:color w:val="0D0D0D" w:themeColor="text1" w:themeTint="F2"/>
                <w:spacing w:val="-2"/>
                <w:sz w:val="18"/>
                <w:lang w:val="en-GB"/>
              </w:rPr>
            </w:pPr>
          </w:p>
        </w:tc>
        <w:tc>
          <w:tcPr>
            <w:tcW w:w="2891" w:type="dxa"/>
            <w:tcBorders>
              <w:top w:val="single" w:color="auto" w:sz="6" w:space="0"/>
            </w:tcBorders>
          </w:tcPr>
          <w:p w:rsidRPr="00294763" w:rsidR="00BA585D" w:rsidP="00373C7D" w:rsidRDefault="00BA585D" w14:paraId="4E4AB30B"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A: CE indicators</w:t>
            </w:r>
          </w:p>
          <w:p w:rsidRPr="00294763" w:rsidR="00BA585D" w:rsidP="00373C7D" w:rsidRDefault="00BA585D" w14:paraId="22C38AE2"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tcPr>
          <w:p w:rsidRPr="00294763" w:rsidR="00BA585D" w:rsidP="00373C7D" w:rsidRDefault="00BA585D" w14:paraId="42B3CA6E"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CE indicators</w:t>
            </w:r>
          </w:p>
          <w:p w:rsidRPr="00294763" w:rsidR="00BA585D" w:rsidP="00373C7D" w:rsidRDefault="00BA585D" w14:paraId="0669BEFF" w14:textId="77777777">
            <w:pPr>
              <w:pStyle w:val="TableCell"/>
              <w:keepNext w:val="0"/>
              <w:keepLines w:val="0"/>
              <w:widowControl w:val="0"/>
              <w:spacing w:before="240"/>
              <w:jc w:val="left"/>
              <w:rPr>
                <w:color w:val="0D0D0D" w:themeColor="text1" w:themeTint="F2"/>
                <w:spacing w:val="-2"/>
                <w:sz w:val="18"/>
              </w:rPr>
            </w:pPr>
            <w:r w:rsidRPr="00294763">
              <w:rPr>
                <w:color w:val="0D0D0D" w:themeColor="text1" w:themeTint="F2"/>
                <w:spacing w:val="-2"/>
                <w:sz w:val="18"/>
              </w:rPr>
              <w:t>Area D1: capacity building</w:t>
            </w:r>
          </w:p>
        </w:tc>
      </w:tr>
      <w:tr w:rsidRPr="00294763" w:rsidR="00BA585D" w:rsidTr="00373C7D" w14:paraId="0856CF54"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68E2EB55"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646B0E1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7A079B7B" w14:textId="77777777">
            <w:pPr>
              <w:pStyle w:val="TableCell"/>
              <w:keepNext w:val="0"/>
              <w:keepLines w:val="0"/>
              <w:widowControl w:val="0"/>
              <w:jc w:val="left"/>
              <w:rPr>
                <w:color w:val="0D0D0D" w:themeColor="text1" w:themeTint="F2"/>
                <w:spacing w:val="-2"/>
                <w:sz w:val="18"/>
              </w:rPr>
            </w:pPr>
          </w:p>
        </w:tc>
        <w:tc>
          <w:tcPr>
            <w:tcW w:w="3686" w:type="dxa"/>
          </w:tcPr>
          <w:p w:rsidRPr="00294763" w:rsidR="00BA585D" w:rsidP="00373C7D" w:rsidRDefault="00BA585D" w14:paraId="10E4C0D0"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color w:val="0D0D0D" w:themeColor="text1" w:themeTint="F2"/>
                <w:spacing w:val="-2"/>
                <w:sz w:val="18"/>
                <w:lang w:val="en-GB"/>
              </w:rPr>
              <w:t xml:space="preserve">Progressively integrate national </w:t>
            </w:r>
            <w:proofErr w:type="gramStart"/>
            <w:r w:rsidRPr="737338A0">
              <w:rPr>
                <w:color w:val="0D0D0D" w:themeColor="text1" w:themeTint="F2"/>
                <w:spacing w:val="-2"/>
                <w:sz w:val="18"/>
                <w:lang w:val="en-GB"/>
              </w:rPr>
              <w:t>data  using</w:t>
            </w:r>
            <w:proofErr w:type="gramEnd"/>
            <w:r w:rsidRPr="737338A0">
              <w:rPr>
                <w:color w:val="0D0D0D" w:themeColor="text1" w:themeTint="F2"/>
                <w:spacing w:val="-2"/>
                <w:sz w:val="18"/>
                <w:lang w:val="en-GB"/>
              </w:rPr>
              <w:t xml:space="preserve"> a common data template (a pre-filled EW-MFA questionnaire for SDGs, UNEP)</w:t>
            </w:r>
          </w:p>
          <w:p w:rsidRPr="00294763" w:rsidR="00BA585D" w:rsidP="00373C7D" w:rsidRDefault="00BA585D" w14:paraId="32C59A3E"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color w:val="0D0D0D" w:themeColor="text1" w:themeTint="F2"/>
                <w:spacing w:val="-2"/>
                <w:sz w:val="18"/>
                <w:lang w:val="en-GB"/>
              </w:rPr>
              <w:t>Reconcile national data with international estimates (UNEP-IRP)</w:t>
            </w:r>
          </w:p>
        </w:tc>
        <w:tc>
          <w:tcPr>
            <w:cnfStyle w:val="000010000000" w:firstRow="0" w:lastRow="0" w:firstColumn="0" w:lastColumn="0" w:oddVBand="1" w:evenVBand="0" w:oddHBand="0" w:evenHBand="0" w:firstRowFirstColumn="0" w:firstRowLastColumn="0" w:lastRowFirstColumn="0" w:lastRowLastColumn="0"/>
            <w:tcW w:w="1134" w:type="dxa"/>
          </w:tcPr>
          <w:p w:rsidR="00BA585D" w:rsidP="00373C7D" w:rsidRDefault="00BA585D" w14:paraId="61BB1C94"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 </w:t>
            </w:r>
            <w:r>
              <w:rPr>
                <w:color w:val="0D0D0D" w:themeColor="text1" w:themeTint="F2"/>
                <w:spacing w:val="-2"/>
                <w:sz w:val="18"/>
                <w:lang w:val="en-GB"/>
              </w:rPr>
              <w:t>O</w:t>
            </w:r>
            <w:r w:rsidRPr="00294763">
              <w:rPr>
                <w:color w:val="0D0D0D" w:themeColor="text1" w:themeTint="F2"/>
                <w:spacing w:val="-2"/>
                <w:sz w:val="18"/>
                <w:lang w:val="en-GB"/>
              </w:rPr>
              <w:t>ngoing</w:t>
            </w:r>
          </w:p>
          <w:p w:rsidRPr="00294763" w:rsidR="00BA585D" w:rsidP="00373C7D" w:rsidRDefault="00BA585D" w14:paraId="624454B9"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lang w:val="en-GB"/>
              </w:rPr>
              <w:t>Medium term</w:t>
            </w:r>
          </w:p>
        </w:tc>
        <w:tc>
          <w:tcPr>
            <w:tcW w:w="2891" w:type="dxa"/>
          </w:tcPr>
          <w:p w:rsidRPr="00294763" w:rsidR="00BA585D" w:rsidP="00373C7D" w:rsidRDefault="00BA585D" w14:paraId="727319D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4B2543F" w14:textId="77777777">
            <w:pPr>
              <w:pStyle w:val="TableCell"/>
              <w:keepNext w:val="0"/>
              <w:keepLines w:val="0"/>
              <w:widowControl w:val="0"/>
              <w:jc w:val="left"/>
              <w:rPr>
                <w:color w:val="0D0D0D" w:themeColor="text1" w:themeTint="F2"/>
                <w:spacing w:val="-2"/>
                <w:sz w:val="18"/>
              </w:rPr>
            </w:pPr>
          </w:p>
        </w:tc>
      </w:tr>
      <w:tr w:rsidRPr="00294763" w:rsidR="00BA585D" w:rsidTr="00373C7D" w14:paraId="12A0E5C9"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055C8636"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49957E0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071116DC" w14:textId="77777777">
            <w:pPr>
              <w:pStyle w:val="TableCell"/>
              <w:keepNext w:val="0"/>
              <w:keepLines w:val="0"/>
              <w:widowControl w:val="0"/>
              <w:jc w:val="left"/>
              <w:rPr>
                <w:color w:val="0D0D0D" w:themeColor="text1" w:themeTint="F2"/>
                <w:spacing w:val="-2"/>
                <w:sz w:val="18"/>
              </w:rPr>
            </w:pPr>
          </w:p>
        </w:tc>
        <w:tc>
          <w:tcPr>
            <w:tcW w:w="3686" w:type="dxa"/>
          </w:tcPr>
          <w:p w:rsidRPr="00294763" w:rsidR="00BA585D" w:rsidP="00373C7D" w:rsidRDefault="00BA585D" w14:paraId="35A6A581"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color w:val="0D0D0D" w:themeColor="text1" w:themeTint="F2"/>
                <w:spacing w:val="-2"/>
                <w:sz w:val="18"/>
                <w:lang w:val="en-GB"/>
              </w:rPr>
              <w:t>Continue capacity building in countries (UNEP)</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55280673"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Ongoing</w:t>
            </w:r>
          </w:p>
        </w:tc>
        <w:tc>
          <w:tcPr>
            <w:tcW w:w="2891" w:type="dxa"/>
          </w:tcPr>
          <w:p w:rsidRPr="00294763" w:rsidR="00BA585D" w:rsidP="00373C7D" w:rsidRDefault="00BA585D" w14:paraId="7B8C59A4"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D1: capacity building</w:t>
            </w: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5257F00C" w14:textId="77777777">
            <w:pPr>
              <w:pStyle w:val="TableCell"/>
              <w:keepNext w:val="0"/>
              <w:keepLines w:val="0"/>
              <w:widowControl w:val="0"/>
              <w:jc w:val="left"/>
              <w:rPr>
                <w:color w:val="0D0D0D" w:themeColor="text1" w:themeTint="F2"/>
                <w:spacing w:val="-2"/>
                <w:sz w:val="18"/>
              </w:rPr>
            </w:pPr>
          </w:p>
        </w:tc>
      </w:tr>
      <w:tr w:rsidRPr="00294763" w:rsidR="00BA585D" w:rsidTr="00373C7D" w14:paraId="4D6E88A6"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19C194D"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1C836B2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78B36CC5" w14:textId="77777777">
            <w:pPr>
              <w:pStyle w:val="TableCell"/>
              <w:keepNext w:val="0"/>
              <w:keepLines w:val="0"/>
              <w:widowControl w:val="0"/>
              <w:jc w:val="left"/>
              <w:rPr>
                <w:color w:val="0D0D0D" w:themeColor="text1" w:themeTint="F2"/>
                <w:spacing w:val="-2"/>
                <w:sz w:val="18"/>
              </w:rPr>
            </w:pPr>
          </w:p>
        </w:tc>
        <w:tc>
          <w:tcPr>
            <w:tcW w:w="3686" w:type="dxa"/>
          </w:tcPr>
          <w:p w:rsidRPr="00294763" w:rsidR="00BA585D" w:rsidP="00373C7D" w:rsidRDefault="00BA585D" w14:paraId="1660B017" w14:textId="77777777">
            <w:pPr>
              <w:pStyle w:val="TableCellBullet"/>
              <w:keepNext w:val="0"/>
              <w:keepLines w:val="0"/>
              <w:widowControl w:val="0"/>
              <w:numPr>
                <w:ilvl w:val="0"/>
                <w:numId w:val="0"/>
              </w:numPr>
              <w:spacing w:before="0" w:after="0"/>
              <w:ind w:left="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165012D6" w14:textId="77777777">
            <w:pPr>
              <w:pStyle w:val="TableCell"/>
              <w:keepNext w:val="0"/>
              <w:widowControl w:val="0"/>
              <w:jc w:val="left"/>
              <w:rPr>
                <w:color w:val="0D0D0D" w:themeColor="text1" w:themeTint="F2"/>
                <w:sz w:val="18"/>
              </w:rPr>
            </w:pPr>
          </w:p>
        </w:tc>
        <w:tc>
          <w:tcPr>
            <w:tcW w:w="2891" w:type="dxa"/>
          </w:tcPr>
          <w:p w:rsidRPr="00294763" w:rsidR="00BA585D" w:rsidP="00373C7D" w:rsidRDefault="00BA585D" w14:paraId="18EF633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32BE667D" w14:textId="77777777">
            <w:pPr>
              <w:pStyle w:val="TableCell"/>
              <w:keepNext w:val="0"/>
              <w:keepLines w:val="0"/>
              <w:widowControl w:val="0"/>
              <w:jc w:val="left"/>
              <w:rPr>
                <w:color w:val="0D0D0D" w:themeColor="text1" w:themeTint="F2"/>
                <w:spacing w:val="-2"/>
                <w:sz w:val="18"/>
              </w:rPr>
            </w:pPr>
          </w:p>
        </w:tc>
      </w:tr>
      <w:tr w:rsidRPr="00294763" w:rsidR="00BA585D" w:rsidTr="00373C7D" w14:paraId="02B154F9"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47D2DD6" w14:textId="77777777">
            <w:pPr>
              <w:pStyle w:val="TableRow"/>
              <w:keepNext w:val="0"/>
              <w:keepLines w:val="0"/>
              <w:widowControl w:val="0"/>
              <w:rPr>
                <w:color w:val="0D0D0D" w:themeColor="text1" w:themeTint="F2"/>
                <w:spacing w:val="-2"/>
                <w:sz w:val="18"/>
              </w:rPr>
            </w:pPr>
          </w:p>
        </w:tc>
        <w:tc>
          <w:tcPr>
            <w:tcW w:w="1417" w:type="dxa"/>
            <w:vMerge/>
          </w:tcPr>
          <w:p w:rsidRPr="00294763" w:rsidR="00BA585D" w:rsidP="00373C7D" w:rsidRDefault="00BA585D" w14:paraId="715422F0"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b/>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43CD33DE"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lang w:val="en-GB"/>
              </w:rPr>
              <w:t xml:space="preserve">Refine the methodology for demand-based material flows (input-output </w:t>
            </w:r>
            <w:r w:rsidRPr="00294763">
              <w:rPr>
                <w:color w:val="0D0D0D" w:themeColor="text1" w:themeTint="F2"/>
                <w:spacing w:val="-2"/>
                <w:sz w:val="18"/>
                <w:lang w:val="en-GB"/>
              </w:rPr>
              <w:lastRenderedPageBreak/>
              <w:t>based approach for use in international work)</w:t>
            </w:r>
          </w:p>
        </w:tc>
        <w:tc>
          <w:tcPr>
            <w:tcW w:w="3686" w:type="dxa"/>
          </w:tcPr>
          <w:p w:rsidRPr="00294763" w:rsidR="00BA585D" w:rsidP="00373C7D" w:rsidRDefault="00BA585D" w14:paraId="324BAE08" w14:textId="77777777">
            <w:pPr>
              <w:pStyle w:val="TableCellBullet"/>
              <w:keepNext w:val="0"/>
              <w:keepLines w:val="0"/>
              <w:widowControl w:val="0"/>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lang w:val="en-GB"/>
              </w:rPr>
            </w:pPr>
            <w:r w:rsidRPr="00294763">
              <w:rPr>
                <w:color w:val="0D0D0D" w:themeColor="text1" w:themeTint="F2"/>
                <w:spacing w:val="-2"/>
                <w:sz w:val="18"/>
                <w:u w:val="single"/>
                <w:lang w:val="en-GB"/>
              </w:rPr>
              <w:lastRenderedPageBreak/>
              <w:t>Material footprints</w:t>
            </w:r>
          </w:p>
          <w:p w:rsidRPr="00294763" w:rsidR="00BA585D" w:rsidP="00373C7D" w:rsidRDefault="00BA585D" w14:paraId="1C602F57"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color w:val="0D0D0D" w:themeColor="text1" w:themeTint="F2"/>
                <w:spacing w:val="-2"/>
                <w:sz w:val="18"/>
                <w:lang w:val="en-GB"/>
              </w:rPr>
              <w:t xml:space="preserve">Further develop and test the harmonised estimation </w:t>
            </w:r>
            <w:r w:rsidRPr="737338A0">
              <w:rPr>
                <w:color w:val="0D0D0D" w:themeColor="text1" w:themeTint="F2"/>
                <w:spacing w:val="-2"/>
                <w:sz w:val="18"/>
                <w:lang w:val="en-GB"/>
              </w:rPr>
              <w:lastRenderedPageBreak/>
              <w:t>method for demand-based material flows (OECD with Eurostat &amp; UNEP)</w:t>
            </w:r>
          </w:p>
          <w:p w:rsidRPr="00294763" w:rsidR="00BA585D" w:rsidDel="00F65591" w:rsidP="00373C7D" w:rsidRDefault="00BA585D" w14:paraId="3104EC8E"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rPr>
            </w:pPr>
            <w:r w:rsidRPr="737338A0">
              <w:rPr>
                <w:color w:val="0D0D0D" w:themeColor="text1" w:themeTint="F2"/>
                <w:spacing w:val="-2"/>
                <w:sz w:val="18"/>
                <w:lang w:val="en-GB"/>
              </w:rPr>
              <w:t>Update the roadmap for required developments &amp; research (OECD with Eurostat &amp; UNEP)</w:t>
            </w:r>
          </w:p>
        </w:tc>
        <w:tc>
          <w:tcPr>
            <w:cnfStyle w:val="000010000000" w:firstRow="0" w:lastRow="0" w:firstColumn="0" w:lastColumn="0" w:oddVBand="1" w:evenVBand="0" w:oddHBand="0" w:evenHBand="0" w:firstRowFirstColumn="0" w:firstRowLastColumn="0" w:lastRowFirstColumn="0" w:lastRowLastColumn="0"/>
            <w:tcW w:w="1134" w:type="dxa"/>
          </w:tcPr>
          <w:p w:rsidR="00BA585D" w:rsidP="00373C7D" w:rsidRDefault="00BA585D" w14:paraId="24F3D629"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lastRenderedPageBreak/>
              <w:t>2021-22</w:t>
            </w:r>
          </w:p>
          <w:p w:rsidRPr="00294763" w:rsidR="00BA585D" w:rsidP="00373C7D" w:rsidRDefault="00BA585D" w14:paraId="396B9CD1"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lastRenderedPageBreak/>
              <w:t>Ongoing</w:t>
            </w:r>
          </w:p>
        </w:tc>
        <w:tc>
          <w:tcPr>
            <w:tcW w:w="2891" w:type="dxa"/>
          </w:tcPr>
          <w:p w:rsidRPr="00294763" w:rsidR="00BA585D" w:rsidP="00373C7D" w:rsidRDefault="00BA585D" w14:paraId="706BC10F"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lastRenderedPageBreak/>
              <w:t>Area B1: indicators from I-O analysis</w:t>
            </w: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70DA530F"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B1: indicators from I-O analysis</w:t>
            </w:r>
          </w:p>
        </w:tc>
      </w:tr>
      <w:tr w:rsidRPr="00294763" w:rsidR="00BA585D" w:rsidTr="00373C7D" w14:paraId="135511A6"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681584EF" w14:textId="77777777">
            <w:pPr>
              <w:pStyle w:val="TableRow"/>
              <w:keepNext w:val="0"/>
              <w:keepLines w:val="0"/>
              <w:widowControl w:val="0"/>
              <w:rPr>
                <w:b/>
                <w:color w:val="0D0D0D" w:themeColor="text1" w:themeTint="F2"/>
                <w:spacing w:val="-2"/>
                <w:sz w:val="18"/>
                <w:lang w:val="en-GB"/>
              </w:rPr>
            </w:pPr>
          </w:p>
        </w:tc>
        <w:tc>
          <w:tcPr>
            <w:tcW w:w="1417" w:type="dxa"/>
            <w:vMerge/>
          </w:tcPr>
          <w:p w:rsidRPr="00294763" w:rsidR="00BA585D" w:rsidP="00373C7D" w:rsidRDefault="00BA585D" w14:paraId="1C99B2A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4F6845E7"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Implement automatic data transfer among IOs</w:t>
            </w:r>
          </w:p>
        </w:tc>
        <w:tc>
          <w:tcPr>
            <w:tcW w:w="3686" w:type="dxa"/>
            <w:tcBorders>
              <w:bottom w:val="nil"/>
            </w:tcBorders>
            <w:hideMark/>
          </w:tcPr>
          <w:p w:rsidRPr="00294763" w:rsidR="00BA585D" w:rsidP="00373C7D" w:rsidRDefault="00BA585D" w14:paraId="6E4E8B74" w14:textId="77777777">
            <w:pPr>
              <w:pStyle w:val="TableCellBullet"/>
              <w:keepNext w:val="0"/>
              <w:keepLines w:val="0"/>
              <w:widowControl w:val="0"/>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lang w:val="en-GB"/>
              </w:rPr>
            </w:pPr>
            <w:r w:rsidRPr="737338A0">
              <w:rPr>
                <w:color w:val="0D0D0D" w:themeColor="text1" w:themeTint="F2"/>
                <w:spacing w:val="-2"/>
                <w:sz w:val="18"/>
                <w:lang w:val="en-GB"/>
              </w:rPr>
              <w:t>Put in place an automatic data transfer and exchange mechanism (using SDMX) between UNEP and other IOs (UNSD, OECD,</w:t>
            </w:r>
            <w:r w:rsidRPr="737338A0">
              <w:rPr>
                <w:i/>
                <w:iCs/>
                <w:color w:val="0D0D0D" w:themeColor="text1" w:themeTint="F2"/>
                <w:spacing w:val="-2"/>
                <w:sz w:val="18"/>
                <w:lang w:val="en-GB"/>
              </w:rPr>
              <w:t xml:space="preserve"> Eurostat</w:t>
            </w:r>
            <w:r w:rsidRPr="737338A0">
              <w:rPr>
                <w:color w:val="0D0D0D" w:themeColor="text1" w:themeTint="F2"/>
                <w:spacing w:val="-2"/>
                <w:sz w:val="18"/>
                <w:lang w:val="en-GB"/>
              </w:rPr>
              <w:t>)</w:t>
            </w:r>
          </w:p>
        </w:tc>
        <w:tc>
          <w:tcPr>
            <w:cnfStyle w:val="000010000000" w:firstRow="0" w:lastRow="0" w:firstColumn="0" w:lastColumn="0" w:oddVBand="1" w:evenVBand="0" w:oddHBand="0" w:evenHBand="0" w:firstRowFirstColumn="0" w:firstRowLastColumn="0" w:lastRowFirstColumn="0" w:lastRowLastColumn="0"/>
            <w:tcW w:w="1134" w:type="dxa"/>
            <w:hideMark/>
          </w:tcPr>
          <w:p w:rsidR="00BA585D" w:rsidP="00373C7D" w:rsidRDefault="00BA585D" w14:paraId="5648C77E"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Completed &amp;</w:t>
            </w:r>
          </w:p>
          <w:p w:rsidRPr="00294763" w:rsidR="00BA585D" w:rsidP="00373C7D" w:rsidRDefault="00BA585D" w14:paraId="411A0B68"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Ongoing</w:t>
            </w:r>
          </w:p>
        </w:tc>
        <w:tc>
          <w:tcPr>
            <w:tcW w:w="2891" w:type="dxa"/>
          </w:tcPr>
          <w:p w:rsidRPr="00294763" w:rsidR="00BA585D" w:rsidP="00373C7D" w:rsidRDefault="00BA585D" w14:paraId="1F347E6F"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3BE32025" w14:textId="77777777">
            <w:pPr>
              <w:pStyle w:val="TableCell"/>
              <w:keepNext w:val="0"/>
              <w:keepLines w:val="0"/>
              <w:widowControl w:val="0"/>
              <w:jc w:val="left"/>
              <w:rPr>
                <w:color w:val="0D0D0D" w:themeColor="text1" w:themeTint="F2"/>
                <w:spacing w:val="-2"/>
                <w:sz w:val="18"/>
              </w:rPr>
            </w:pPr>
          </w:p>
        </w:tc>
      </w:tr>
      <w:tr w:rsidRPr="00294763" w:rsidR="00BA585D" w:rsidTr="00373C7D" w14:paraId="7037DD5D"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4192B77D" w14:textId="77777777">
            <w:pPr>
              <w:pStyle w:val="TableRow"/>
              <w:keepNext w:val="0"/>
              <w:keepLines w:val="0"/>
              <w:widowControl w:val="0"/>
              <w:rPr>
                <w:color w:val="0D0D0D" w:themeColor="text1" w:themeTint="F2"/>
                <w:spacing w:val="-2"/>
                <w:sz w:val="18"/>
                <w:lang w:val="en-GB"/>
              </w:rPr>
            </w:pPr>
          </w:p>
        </w:tc>
        <w:tc>
          <w:tcPr>
            <w:tcW w:w="1417" w:type="dxa"/>
            <w:vMerge/>
          </w:tcPr>
          <w:p w:rsidRPr="00294763" w:rsidR="00BA585D" w:rsidP="00373C7D" w:rsidRDefault="00BA585D" w14:paraId="34961A5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2496" w:type="dxa"/>
            <w:tcBorders>
              <w:bottom w:val="single" w:color="auto" w:sz="6" w:space="0"/>
            </w:tcBorders>
            <w:hideMark/>
          </w:tcPr>
          <w:p w:rsidRPr="00294763" w:rsidR="00BA585D" w:rsidP="00373C7D" w:rsidRDefault="00BA585D" w14:paraId="7D7E4776" w14:textId="77777777">
            <w:pPr>
              <w:pStyle w:val="TableCellBullet"/>
              <w:keepNext w:val="0"/>
              <w:keepLines w:val="0"/>
              <w:widowControl w:val="0"/>
              <w:numPr>
                <w:ilvl w:val="0"/>
                <w:numId w:val="0"/>
              </w:numPr>
              <w:rPr>
                <w:color w:val="0D0D0D" w:themeColor="text1" w:themeTint="F2"/>
                <w:spacing w:val="-2"/>
                <w:sz w:val="18"/>
                <w:lang w:val="en-GB"/>
              </w:rPr>
            </w:pPr>
            <w:r w:rsidRPr="00294763">
              <w:rPr>
                <w:color w:val="0D0D0D" w:themeColor="text1" w:themeTint="F2"/>
                <w:spacing w:val="-2"/>
                <w:sz w:val="18"/>
                <w:lang w:val="en-GB"/>
              </w:rPr>
              <w:t>Carry out further research and improve relevance for circular economy policies</w:t>
            </w:r>
          </w:p>
        </w:tc>
        <w:tc>
          <w:tcPr>
            <w:tcW w:w="3686" w:type="dxa"/>
            <w:tcBorders>
              <w:top w:val="nil"/>
              <w:bottom w:val="single" w:color="auto" w:sz="6" w:space="0"/>
            </w:tcBorders>
            <w:hideMark/>
          </w:tcPr>
          <w:p w:rsidRPr="00294763" w:rsidR="00BA585D" w:rsidP="00373C7D" w:rsidRDefault="00BA585D" w14:paraId="7088665C"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Integrate MF data/accounts with waste statistics/accounts.</w:t>
            </w:r>
          </w:p>
          <w:p w:rsidRPr="00294763" w:rsidR="00BA585D" w:rsidP="00373C7D" w:rsidRDefault="00BA585D" w14:paraId="3BCBD839"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Explore links with product statistics, and EGGS and tax revenue accounts.</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tcPr>
          <w:p w:rsidR="00BA585D" w:rsidP="00373C7D" w:rsidRDefault="00BA585D" w14:paraId="1632E5D7" w14:textId="77777777">
            <w:pPr>
              <w:pStyle w:val="TableCell"/>
              <w:keepNext w:val="0"/>
              <w:keepLines w:val="0"/>
              <w:widowControl w:val="0"/>
              <w:jc w:val="left"/>
              <w:rPr>
                <w:color w:val="0D0D0D" w:themeColor="text1" w:themeTint="F2"/>
                <w:spacing w:val="-2"/>
                <w:sz w:val="18"/>
                <w:lang w:val="en-GB"/>
              </w:rPr>
            </w:pPr>
          </w:p>
          <w:p w:rsidRPr="00294763" w:rsidR="00BA585D" w:rsidP="00373C7D" w:rsidRDefault="00BA585D" w14:paraId="39A8287F"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TBD </w:t>
            </w:r>
          </w:p>
        </w:tc>
        <w:tc>
          <w:tcPr>
            <w:tcW w:w="2891" w:type="dxa"/>
            <w:tcBorders>
              <w:bottom w:val="single" w:color="auto" w:sz="6" w:space="0"/>
            </w:tcBorders>
          </w:tcPr>
          <w:p w:rsidRPr="00294763" w:rsidR="00BA585D" w:rsidP="00373C7D" w:rsidRDefault="00BA585D" w14:paraId="03265D3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A: CE indicators</w:t>
            </w:r>
          </w:p>
          <w:p w:rsidRPr="00294763" w:rsidR="00BA585D" w:rsidP="00373C7D" w:rsidRDefault="00BA585D" w14:paraId="71D3C37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B1: classifications</w:t>
            </w:r>
          </w:p>
        </w:tc>
        <w:tc>
          <w:tcPr>
            <w:cnfStyle w:val="000010000000" w:firstRow="0" w:lastRow="0" w:firstColumn="0" w:lastColumn="0" w:oddVBand="1" w:evenVBand="0" w:oddHBand="0" w:evenHBand="0" w:firstRowFirstColumn="0" w:firstRowLastColumn="0" w:lastRowFirstColumn="0" w:lastRowLastColumn="0"/>
            <w:tcW w:w="1757" w:type="dxa"/>
            <w:tcBorders>
              <w:bottom w:val="single" w:color="auto" w:sz="6" w:space="0"/>
            </w:tcBorders>
          </w:tcPr>
          <w:p w:rsidRPr="00294763" w:rsidR="00BA585D" w:rsidP="00373C7D" w:rsidRDefault="00BA585D" w14:paraId="63FF02C0"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CE indicators</w:t>
            </w:r>
          </w:p>
          <w:p w:rsidRPr="00294763" w:rsidR="00BA585D" w:rsidP="00373C7D" w:rsidRDefault="00BA585D" w14:paraId="49197204"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B1: classifications</w:t>
            </w:r>
          </w:p>
        </w:tc>
      </w:tr>
      <w:tr w:rsidRPr="00294763" w:rsidR="00BA585D" w:rsidTr="00373C7D" w14:paraId="2BB37E67" w14:textId="77777777">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hideMark/>
          </w:tcPr>
          <w:p w:rsidRPr="00294763" w:rsidR="00BA585D" w:rsidP="00373C7D" w:rsidRDefault="00BA585D" w14:paraId="2A3437CA" w14:textId="77777777">
            <w:pPr>
              <w:pStyle w:val="TableRow"/>
              <w:keepNext w:val="0"/>
              <w:keepLines w:val="0"/>
              <w:widowControl w:val="0"/>
              <w:rPr>
                <w:b/>
                <w:color w:val="0D0D0D" w:themeColor="text1" w:themeTint="F2"/>
                <w:spacing w:val="-2"/>
                <w:sz w:val="18"/>
                <w:lang w:val="en-GB"/>
              </w:rPr>
            </w:pPr>
            <w:r w:rsidRPr="00294763">
              <w:rPr>
                <w:b/>
                <w:color w:val="0D0D0D" w:themeColor="text1" w:themeTint="F2"/>
                <w:spacing w:val="-2"/>
                <w:sz w:val="18"/>
                <w:lang w:val="en-GB"/>
              </w:rPr>
              <w:t>Land</w:t>
            </w:r>
            <w:r w:rsidRPr="00294763">
              <w:rPr>
                <w:b/>
                <w:color w:val="0D0D0D" w:themeColor="text1" w:themeTint="F2"/>
                <w:spacing w:val="-2"/>
                <w:sz w:val="18"/>
                <w:lang w:val="en-GB"/>
              </w:rPr>
              <w:br/>
            </w:r>
            <w:r w:rsidRPr="00294763">
              <w:rPr>
                <w:b/>
                <w:color w:val="0D0D0D" w:themeColor="text1" w:themeTint="F2"/>
                <w:spacing w:val="-2"/>
                <w:sz w:val="18"/>
                <w:lang w:val="en-GB"/>
              </w:rPr>
              <w:t>(cover)</w:t>
            </w:r>
          </w:p>
        </w:tc>
        <w:tc>
          <w:tcPr>
            <w:tcW w:w="1417" w:type="dxa"/>
            <w:vMerge w:val="restart"/>
            <w:tcBorders>
              <w:top w:val="single" w:color="auto" w:sz="6" w:space="0"/>
            </w:tcBorders>
            <w:hideMark/>
          </w:tcPr>
          <w:p w:rsidRPr="00294763" w:rsidR="00BA585D" w:rsidP="00373C7D" w:rsidRDefault="00BA585D" w14:paraId="304D15B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737338A0">
              <w:rPr>
                <w:b/>
                <w:bCs/>
                <w:color w:val="0D0D0D" w:themeColor="text1" w:themeTint="F2"/>
                <w:sz w:val="18"/>
                <w:lang w:val="en-GB"/>
              </w:rPr>
              <w:t>UNSD and FAO</w:t>
            </w:r>
            <w:r w:rsidRPr="00294763">
              <w:rPr>
                <w:color w:val="0D0D0D" w:themeColor="text1" w:themeTint="F2"/>
                <w:spacing w:val="-2"/>
                <w:sz w:val="18"/>
                <w:lang w:val="en-GB"/>
              </w:rPr>
              <w:br/>
            </w:r>
            <w:r w:rsidRPr="737338A0">
              <w:rPr>
                <w:color w:val="0D0D0D" w:themeColor="text1" w:themeTint="F2"/>
                <w:spacing w:val="-2"/>
                <w:sz w:val="18"/>
                <w:lang w:val="en-GB"/>
              </w:rPr>
              <w:t>(with OECD</w:t>
            </w:r>
            <w:r>
              <w:rPr>
                <w:color w:val="0D0D0D" w:themeColor="text1" w:themeTint="F2"/>
                <w:spacing w:val="-2"/>
                <w:sz w:val="18"/>
                <w:lang w:val="en-GB"/>
              </w:rPr>
              <w:t>, UNCCD</w:t>
            </w:r>
            <w:r w:rsidRPr="737338A0">
              <w:rPr>
                <w:color w:val="0D0D0D" w:themeColor="text1" w:themeTint="F2"/>
                <w:sz w:val="18"/>
                <w:lang w:val="en-GB"/>
              </w:rPr>
              <w:t xml:space="preserve"> and others</w:t>
            </w:r>
            <w:r w:rsidRPr="737338A0">
              <w:rPr>
                <w:color w:val="0D0D0D" w:themeColor="text1" w:themeTint="F2"/>
                <w:spacing w:val="-2"/>
                <w:sz w:val="18"/>
                <w:lang w:val="en-GB"/>
              </w:rPr>
              <w:t>)</w:t>
            </w:r>
          </w:p>
          <w:p w:rsidRPr="002D7ABF" w:rsidR="00BA585D" w:rsidP="00373C7D" w:rsidRDefault="00BA585D" w14:paraId="18475624" w14:textId="77777777">
            <w:pPr>
              <w:pStyle w:val="TableCell"/>
              <w:keepNext w:val="0"/>
              <w:keepLines w:val="0"/>
              <w:widowControl w:val="0"/>
              <w:spacing w:before="12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2496" w:type="dxa"/>
            <w:tcBorders>
              <w:top w:val="single" w:color="auto" w:sz="6" w:space="0"/>
            </w:tcBorders>
          </w:tcPr>
          <w:p w:rsidRPr="00294763" w:rsidR="00BA585D" w:rsidP="00373C7D" w:rsidRDefault="00BA585D" w14:paraId="03C06731"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Develop international consensus on estimation methodology to use</w:t>
            </w:r>
          </w:p>
        </w:tc>
        <w:tc>
          <w:tcPr>
            <w:tcW w:w="3686" w:type="dxa"/>
            <w:tcBorders>
              <w:top w:val="single" w:color="auto" w:sz="6" w:space="0"/>
              <w:bottom w:val="nil"/>
            </w:tcBorders>
            <w:hideMark/>
          </w:tcPr>
          <w:p w:rsidRPr="00294763" w:rsidR="00BA585D" w:rsidP="00373C7D" w:rsidRDefault="00BA585D" w14:paraId="07437A8D"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u w:val="single"/>
                <w:lang w:val="en-GB"/>
              </w:rPr>
              <w:t>Estimation methodology</w:t>
            </w:r>
            <w:r w:rsidRPr="00294763">
              <w:rPr>
                <w:color w:val="0D0D0D" w:themeColor="text1" w:themeTint="F2"/>
                <w:spacing w:val="-2"/>
                <w:sz w:val="18"/>
                <w:lang w:val="en-GB"/>
              </w:rPr>
              <w:t>:</w:t>
            </w:r>
          </w:p>
          <w:p w:rsidRPr="00294763" w:rsidR="00BA585D" w:rsidP="00373C7D" w:rsidRDefault="00BA585D" w14:paraId="42C12C18"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Pr>
                <w:rFonts w:eastAsia="Calibri"/>
                <w:color w:val="0D0D0D" w:themeColor="text1" w:themeTint="F2"/>
                <w:spacing w:val="-2"/>
                <w:sz w:val="18"/>
                <w:lang w:val="en-GB"/>
              </w:rPr>
              <w:t>Integrate LCML into ARIES for SEEA</w:t>
            </w:r>
            <w:r w:rsidRPr="00294763" w:rsidDel="00AD6B17">
              <w:rPr>
                <w:color w:val="0D0D0D" w:themeColor="text1" w:themeTint="F2"/>
                <w:spacing w:val="-2"/>
                <w:sz w:val="18"/>
                <w:lang w:val="en-GB"/>
              </w:rPr>
              <w:t xml:space="preserve"> </w:t>
            </w: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tcPr>
          <w:p w:rsidRPr="00294763" w:rsidR="00BA585D" w:rsidP="00373C7D" w:rsidRDefault="00BA585D" w14:paraId="07C56964" w14:textId="77777777">
            <w:pPr>
              <w:pStyle w:val="TableCell"/>
              <w:keepNext w:val="0"/>
              <w:keepLines w:val="0"/>
              <w:widowControl w:val="0"/>
              <w:jc w:val="left"/>
              <w:rPr>
                <w:color w:val="0D0D0D" w:themeColor="text1" w:themeTint="F2"/>
                <w:spacing w:val="-2"/>
                <w:sz w:val="18"/>
                <w:lang w:val="en-GB"/>
              </w:rPr>
            </w:pPr>
          </w:p>
        </w:tc>
        <w:tc>
          <w:tcPr>
            <w:tcW w:w="2891" w:type="dxa"/>
            <w:tcBorders>
              <w:top w:val="single" w:color="auto" w:sz="6" w:space="0"/>
            </w:tcBorders>
          </w:tcPr>
          <w:p w:rsidRPr="00294763" w:rsidR="00BA585D" w:rsidP="00373C7D" w:rsidRDefault="00BA585D" w14:paraId="3B68DE8C"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B2: ecosystem accounts</w:t>
            </w:r>
          </w:p>
        </w:tc>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tcPr>
          <w:p w:rsidRPr="00294763" w:rsidR="00BA585D" w:rsidP="00373C7D" w:rsidRDefault="00BA585D" w14:paraId="412E63B2"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B2: ecosystem accounts</w:t>
            </w:r>
          </w:p>
        </w:tc>
      </w:tr>
      <w:tr w:rsidRPr="00294763" w:rsidR="00BA585D" w:rsidTr="00373C7D" w14:paraId="41055021"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20050DFC" w14:textId="77777777">
            <w:pPr>
              <w:pStyle w:val="TableRow"/>
              <w:keepNext w:val="0"/>
              <w:keepLines w:val="0"/>
              <w:widowControl w:val="0"/>
              <w:rPr>
                <w:b/>
                <w:color w:val="0D0D0D" w:themeColor="text1" w:themeTint="F2"/>
                <w:spacing w:val="-2"/>
                <w:sz w:val="18"/>
                <w:lang w:val="en-GB"/>
              </w:rPr>
            </w:pPr>
          </w:p>
        </w:tc>
        <w:tc>
          <w:tcPr>
            <w:tcW w:w="1417" w:type="dxa"/>
            <w:vMerge/>
          </w:tcPr>
          <w:p w:rsidRPr="00294763" w:rsidR="00BA585D" w:rsidP="00373C7D" w:rsidRDefault="00BA585D" w14:paraId="7CF64AD8"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2496" w:type="dxa"/>
            <w:vMerge w:val="restart"/>
          </w:tcPr>
          <w:p w:rsidRPr="00294763" w:rsidR="00BA585D" w:rsidP="00373C7D" w:rsidRDefault="00BA585D" w14:paraId="0FA2398E"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Maintain global database with regular updates, agree on practical co-operation arrangements among IOs, and implement an automatic data exchange between IOs </w:t>
            </w:r>
          </w:p>
        </w:tc>
        <w:tc>
          <w:tcPr>
            <w:tcW w:w="3686" w:type="dxa"/>
            <w:tcBorders>
              <w:top w:val="nil"/>
              <w:bottom w:val="nil"/>
            </w:tcBorders>
            <w:hideMark/>
          </w:tcPr>
          <w:p w:rsidRPr="00294763" w:rsidR="00BA585D" w:rsidP="00373C7D" w:rsidRDefault="00BA585D" w14:paraId="5D86C471"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lang w:val="en-GB"/>
              </w:rPr>
            </w:pPr>
            <w:r w:rsidRPr="00294763">
              <w:rPr>
                <w:color w:val="0D0D0D" w:themeColor="text1" w:themeTint="F2"/>
                <w:spacing w:val="-2"/>
                <w:sz w:val="18"/>
                <w:u w:val="single"/>
                <w:lang w:val="en-GB"/>
              </w:rPr>
              <w:t>Next steps</w:t>
            </w:r>
            <w:r w:rsidRPr="00294763">
              <w:rPr>
                <w:color w:val="0D0D0D" w:themeColor="text1" w:themeTint="F2"/>
                <w:spacing w:val="-2"/>
                <w:sz w:val="18"/>
                <w:lang w:val="en-GB"/>
              </w:rPr>
              <w:t>:</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162B0450"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Long-term</w:t>
            </w:r>
          </w:p>
        </w:tc>
        <w:tc>
          <w:tcPr>
            <w:tcW w:w="2891" w:type="dxa"/>
          </w:tcPr>
          <w:p w:rsidRPr="00294763" w:rsidR="00BA585D" w:rsidP="00373C7D" w:rsidRDefault="00BA585D" w14:paraId="0B511BB3"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1A06311" w14:textId="77777777">
            <w:pPr>
              <w:pStyle w:val="TableCell"/>
              <w:keepNext w:val="0"/>
              <w:keepLines w:val="0"/>
              <w:widowControl w:val="0"/>
              <w:jc w:val="left"/>
              <w:rPr>
                <w:color w:val="0D0D0D" w:themeColor="text1" w:themeTint="F2"/>
                <w:spacing w:val="-2"/>
                <w:sz w:val="18"/>
              </w:rPr>
            </w:pPr>
          </w:p>
        </w:tc>
      </w:tr>
      <w:tr w:rsidRPr="00294763" w:rsidR="00BA585D" w:rsidTr="00373C7D" w14:paraId="43988F59"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03DFCA5F"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3B6363D2"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6EF949CD" w14:textId="77777777">
            <w:pPr>
              <w:pStyle w:val="TableCell"/>
              <w:keepNext w:val="0"/>
              <w:keepLines w:val="0"/>
              <w:widowControl w:val="0"/>
              <w:jc w:val="left"/>
              <w:rPr>
                <w:color w:val="0D0D0D" w:themeColor="text1" w:themeTint="F2"/>
                <w:spacing w:val="-2"/>
                <w:sz w:val="18"/>
              </w:rPr>
            </w:pPr>
          </w:p>
        </w:tc>
        <w:tc>
          <w:tcPr>
            <w:tcW w:w="3686" w:type="dxa"/>
            <w:tcBorders>
              <w:top w:val="nil"/>
              <w:bottom w:val="nil"/>
            </w:tcBorders>
          </w:tcPr>
          <w:p w:rsidRPr="00706C45" w:rsidR="00BA585D" w:rsidP="00373C7D" w:rsidRDefault="00BA585D" w14:paraId="6C91277E"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Review co</w:t>
            </w:r>
            <w:r w:rsidRPr="00294763">
              <w:rPr>
                <w:rFonts w:eastAsia="Calibri"/>
                <w:color w:val="0D0D0D" w:themeColor="text1" w:themeTint="F2"/>
                <w:spacing w:val="-2"/>
                <w:sz w:val="18"/>
                <w:lang w:val="en-GB"/>
              </w:rPr>
              <w:t xml:space="preserve">herence between </w:t>
            </w:r>
            <w:r>
              <w:rPr>
                <w:rFonts w:eastAsia="Calibri"/>
                <w:color w:val="0D0D0D" w:themeColor="text1" w:themeTint="F2"/>
                <w:spacing w:val="-2"/>
                <w:sz w:val="18"/>
                <w:lang w:val="en-GB"/>
              </w:rPr>
              <w:t xml:space="preserve">existing data </w:t>
            </w:r>
            <w:r w:rsidRPr="00294763">
              <w:rPr>
                <w:rFonts w:eastAsia="Calibri"/>
                <w:color w:val="0D0D0D" w:themeColor="text1" w:themeTint="F2"/>
                <w:spacing w:val="-2"/>
                <w:sz w:val="18"/>
                <w:lang w:val="en-GB"/>
              </w:rPr>
              <w:t xml:space="preserve">databases </w:t>
            </w:r>
            <w:r>
              <w:rPr>
                <w:rFonts w:eastAsia="Calibri"/>
                <w:color w:val="0D0D0D" w:themeColor="text1" w:themeTint="F2"/>
                <w:spacing w:val="-2"/>
                <w:sz w:val="18"/>
                <w:lang w:val="en-GB"/>
              </w:rPr>
              <w:t xml:space="preserve">and collection </w:t>
            </w:r>
            <w:r w:rsidRPr="00294763">
              <w:rPr>
                <w:rFonts w:eastAsia="Calibri"/>
                <w:color w:val="0D0D0D" w:themeColor="text1" w:themeTint="F2"/>
                <w:spacing w:val="-2"/>
                <w:sz w:val="18"/>
                <w:lang w:val="en-GB"/>
              </w:rPr>
              <w:t>– FAO, OECD,</w:t>
            </w:r>
            <w:r w:rsidRPr="00706C45">
              <w:rPr>
                <w:rFonts w:eastAsia="Calibri"/>
                <w:color w:val="0D0D0D" w:themeColor="text1" w:themeTint="F2"/>
                <w:spacing w:val="-2"/>
                <w:sz w:val="18"/>
                <w:lang w:val="en-GB"/>
              </w:rPr>
              <w:t xml:space="preserve"> UNCCD: structure and content, data sources, methodology</w:t>
            </w:r>
          </w:p>
          <w:p w:rsidRPr="00706C45" w:rsidR="00BA585D" w:rsidP="00373C7D" w:rsidRDefault="00BA585D" w14:paraId="17A50DE1"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706C45">
              <w:rPr>
                <w:rFonts w:eastAsia="Calibri"/>
                <w:color w:val="0D0D0D" w:themeColor="text1" w:themeTint="F2"/>
                <w:spacing w:val="-2"/>
                <w:sz w:val="18"/>
                <w:lang w:val="en-GB"/>
              </w:rPr>
              <w:t xml:space="preserve">Develop </w:t>
            </w:r>
            <w:r w:rsidRPr="004D553A">
              <w:rPr>
                <w:color w:val="auto"/>
                <w:sz w:val="18"/>
                <w:lang w:eastAsia="zh-CN"/>
              </w:rPr>
              <w:t>an agreed hierarchy and ontology of LC classes that meet various information needs, while promoting harmonization.</w:t>
            </w:r>
          </w:p>
          <w:p w:rsidRPr="00294763" w:rsidR="00BA585D" w:rsidP="00373C7D" w:rsidRDefault="00BA585D" w14:paraId="32122304" w14:textId="77777777">
            <w:pPr>
              <w:pStyle w:val="TableCellBullet"/>
              <w:keepNext w:val="0"/>
              <w:keepLines w:val="0"/>
              <w:widowControl w:val="0"/>
              <w:numPr>
                <w:ilvl w:val="0"/>
                <w:numId w:val="0"/>
              </w:numPr>
              <w:spacing w:before="0" w:after="0"/>
              <w:ind w:left="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7CD625B8" w14:textId="77777777">
            <w:pPr>
              <w:pStyle w:val="TableCell"/>
              <w:keepNext w:val="0"/>
              <w:keepLines w:val="0"/>
              <w:widowControl w:val="0"/>
              <w:jc w:val="left"/>
              <w:rPr>
                <w:color w:val="0D0D0D" w:themeColor="text1" w:themeTint="F2"/>
                <w:sz w:val="18"/>
              </w:rPr>
            </w:pPr>
            <w:r>
              <w:rPr>
                <w:color w:val="0D0D0D" w:themeColor="text1" w:themeTint="F2"/>
                <w:sz w:val="18"/>
              </w:rPr>
              <w:t>Ongoing</w:t>
            </w:r>
          </w:p>
          <w:p w:rsidRPr="00294763" w:rsidR="00BA585D" w:rsidP="00373C7D" w:rsidRDefault="00BA585D" w14:paraId="3E71F8CF" w14:textId="77777777">
            <w:pPr>
              <w:pStyle w:val="TableCell"/>
              <w:keepNext w:val="0"/>
              <w:keepLines w:val="0"/>
              <w:widowControl w:val="0"/>
              <w:jc w:val="left"/>
              <w:rPr>
                <w:color w:val="0D0D0D" w:themeColor="text1" w:themeTint="F2"/>
                <w:sz w:val="18"/>
              </w:rPr>
            </w:pPr>
          </w:p>
          <w:p w:rsidRPr="00294763" w:rsidR="00BA585D" w:rsidP="00373C7D" w:rsidRDefault="00BA585D" w14:paraId="3562E582" w14:textId="77777777">
            <w:pPr>
              <w:pStyle w:val="TableCell"/>
              <w:keepNext w:val="0"/>
              <w:keepLines w:val="0"/>
              <w:widowControl w:val="0"/>
              <w:jc w:val="left"/>
              <w:rPr>
                <w:color w:val="0D0D0D" w:themeColor="text1" w:themeTint="F2"/>
                <w:spacing w:val="-2"/>
                <w:szCs w:val="17"/>
              </w:rPr>
            </w:pPr>
          </w:p>
        </w:tc>
        <w:tc>
          <w:tcPr>
            <w:tcW w:w="2891" w:type="dxa"/>
          </w:tcPr>
          <w:p w:rsidRPr="00294763" w:rsidR="00BA585D" w:rsidP="00373C7D" w:rsidRDefault="00BA585D" w14:paraId="2E0B6A9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07041B50" w14:textId="77777777">
            <w:pPr>
              <w:pStyle w:val="TableCell"/>
              <w:keepNext w:val="0"/>
              <w:keepLines w:val="0"/>
              <w:widowControl w:val="0"/>
              <w:jc w:val="left"/>
              <w:rPr>
                <w:color w:val="0D0D0D" w:themeColor="text1" w:themeTint="F2"/>
                <w:spacing w:val="-2"/>
                <w:sz w:val="18"/>
              </w:rPr>
            </w:pPr>
          </w:p>
        </w:tc>
      </w:tr>
      <w:tr w:rsidRPr="00294763" w:rsidR="00BA585D" w:rsidTr="00373C7D" w14:paraId="3E1AD18E"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4EC02784"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3CB8D928"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1A6FA415" w14:textId="77777777">
            <w:pPr>
              <w:pStyle w:val="TableCell"/>
              <w:keepNext w:val="0"/>
              <w:keepLines w:val="0"/>
              <w:widowControl w:val="0"/>
              <w:jc w:val="left"/>
              <w:rPr>
                <w:color w:val="0D0D0D" w:themeColor="text1" w:themeTint="F2"/>
                <w:spacing w:val="-2"/>
                <w:sz w:val="18"/>
              </w:rPr>
            </w:pPr>
          </w:p>
        </w:tc>
        <w:tc>
          <w:tcPr>
            <w:tcW w:w="3686" w:type="dxa"/>
            <w:tcBorders>
              <w:top w:val="nil"/>
              <w:bottom w:val="nil"/>
            </w:tcBorders>
          </w:tcPr>
          <w:p w:rsidRPr="00294763" w:rsidR="00BA585D" w:rsidP="00373C7D" w:rsidRDefault="00BA585D" w14:paraId="47F67738"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u w:val="single"/>
              </w:rPr>
            </w:pPr>
            <w:r>
              <w:rPr>
                <w:color w:val="0D0D0D" w:themeColor="text1" w:themeTint="F2"/>
                <w:sz w:val="18"/>
                <w:lang w:val="en-GB"/>
              </w:rPr>
              <w:t xml:space="preserve">Develop </w:t>
            </w:r>
            <w:r w:rsidRPr="00294763">
              <w:rPr>
                <w:color w:val="0D0D0D" w:themeColor="text1" w:themeTint="F2"/>
                <w:spacing w:val="-2"/>
                <w:sz w:val="18"/>
                <w:lang w:val="en-GB"/>
              </w:rPr>
              <w:t>a common data template for national reporting</w:t>
            </w:r>
            <w:r>
              <w:rPr>
                <w:color w:val="0D0D0D" w:themeColor="text1" w:themeTint="F2"/>
                <w:spacing w:val="-2"/>
                <w:sz w:val="18"/>
                <w:lang w:val="en-GB"/>
              </w:rPr>
              <w:t xml:space="preserve"> on land accounts</w:t>
            </w:r>
            <w:r>
              <w:rPr>
                <w:color w:val="0D0D0D" w:themeColor="text1" w:themeTint="F2"/>
                <w:sz w:val="18"/>
                <w:lang w:val="en-GB"/>
              </w:rPr>
              <w:t>: expert</w:t>
            </w:r>
            <w:r w:rsidRPr="4BD17138">
              <w:rPr>
                <w:color w:val="0D0D0D" w:themeColor="text1" w:themeTint="F2"/>
                <w:sz w:val="18"/>
                <w:lang w:val="en-GB"/>
              </w:rPr>
              <w:t xml:space="preserve"> review meeting</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55488505" w14:textId="77777777">
            <w:pPr>
              <w:pStyle w:val="TableCell"/>
              <w:keepNext w:val="0"/>
              <w:keepLines w:val="0"/>
              <w:widowControl w:val="0"/>
              <w:jc w:val="left"/>
              <w:rPr>
                <w:color w:val="0D0D0D" w:themeColor="text1" w:themeTint="F2"/>
                <w:spacing w:val="-2"/>
                <w:szCs w:val="17"/>
              </w:rPr>
            </w:pPr>
            <w:r w:rsidRPr="4BD17138">
              <w:rPr>
                <w:color w:val="0D0D0D" w:themeColor="text1" w:themeTint="F2"/>
                <w:sz w:val="18"/>
              </w:rPr>
              <w:t>Q3</w:t>
            </w:r>
            <w:r>
              <w:rPr>
                <w:color w:val="0D0D0D" w:themeColor="text1" w:themeTint="F2"/>
                <w:sz w:val="18"/>
              </w:rPr>
              <w:t>-</w:t>
            </w:r>
            <w:r w:rsidRPr="4BD17138">
              <w:rPr>
                <w:color w:val="0D0D0D" w:themeColor="text1" w:themeTint="F2"/>
                <w:sz w:val="18"/>
              </w:rPr>
              <w:t>Q4 2022</w:t>
            </w:r>
          </w:p>
        </w:tc>
        <w:tc>
          <w:tcPr>
            <w:tcW w:w="2891" w:type="dxa"/>
          </w:tcPr>
          <w:p w:rsidRPr="00294763" w:rsidR="00BA585D" w:rsidP="00373C7D" w:rsidRDefault="00BA585D" w14:paraId="5A23FD50"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31B9C081" w14:textId="77777777">
            <w:pPr>
              <w:pStyle w:val="TableCell"/>
              <w:keepNext w:val="0"/>
              <w:keepLines w:val="0"/>
              <w:widowControl w:val="0"/>
              <w:jc w:val="left"/>
              <w:rPr>
                <w:color w:val="0D0D0D" w:themeColor="text1" w:themeTint="F2"/>
                <w:spacing w:val="-2"/>
                <w:sz w:val="18"/>
              </w:rPr>
            </w:pPr>
          </w:p>
        </w:tc>
      </w:tr>
      <w:tr w:rsidRPr="00294763" w:rsidR="00BA585D" w:rsidTr="00373C7D" w14:paraId="79CD9445"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5E6135F" w14:textId="77777777">
            <w:pPr>
              <w:pStyle w:val="TableRow"/>
              <w:keepNext w:val="0"/>
              <w:keepLines w:val="0"/>
              <w:widowControl w:val="0"/>
              <w:rPr>
                <w:b/>
                <w:color w:val="0D0D0D" w:themeColor="text1" w:themeTint="F2"/>
                <w:spacing w:val="-2"/>
                <w:sz w:val="18"/>
              </w:rPr>
            </w:pPr>
          </w:p>
        </w:tc>
        <w:tc>
          <w:tcPr>
            <w:tcW w:w="1417" w:type="dxa"/>
            <w:vMerge/>
          </w:tcPr>
          <w:p w:rsidRPr="00294763" w:rsidR="00BA585D" w:rsidP="00373C7D" w:rsidRDefault="00BA585D" w14:paraId="0681F4B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4296A63D" w14:textId="77777777">
            <w:pPr>
              <w:pStyle w:val="TableCell"/>
              <w:keepNext w:val="0"/>
              <w:keepLines w:val="0"/>
              <w:widowControl w:val="0"/>
              <w:jc w:val="left"/>
              <w:rPr>
                <w:color w:val="0D0D0D" w:themeColor="text1" w:themeTint="F2"/>
                <w:spacing w:val="-2"/>
                <w:sz w:val="18"/>
              </w:rPr>
            </w:pPr>
          </w:p>
        </w:tc>
        <w:tc>
          <w:tcPr>
            <w:tcW w:w="3686" w:type="dxa"/>
            <w:tcBorders>
              <w:top w:val="nil"/>
              <w:bottom w:val="single" w:color="auto" w:sz="6" w:space="0"/>
            </w:tcBorders>
          </w:tcPr>
          <w:p w:rsidRPr="00294763" w:rsidR="00BA585D" w:rsidP="00373C7D" w:rsidRDefault="00BA585D" w14:paraId="2874591D"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Establish regular data collection [validation</w:t>
            </w:r>
            <w:r>
              <w:rPr>
                <w:color w:val="0D0D0D" w:themeColor="text1" w:themeTint="F2"/>
                <w:spacing w:val="-2"/>
                <w:sz w:val="18"/>
                <w:lang w:val="en-GB"/>
              </w:rPr>
              <w:t xml:space="preserve"> by countries</w:t>
            </w:r>
            <w:r w:rsidRPr="00294763">
              <w:rPr>
                <w:color w:val="0D0D0D" w:themeColor="text1" w:themeTint="F2"/>
                <w:spacing w:val="-2"/>
                <w:sz w:val="18"/>
                <w:lang w:val="en-GB"/>
              </w:rPr>
              <w:t>]</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tcPr>
          <w:p w:rsidRPr="00294763" w:rsidR="00BA585D" w:rsidP="00373C7D" w:rsidRDefault="00BA585D" w14:paraId="128B770B"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TBD</w:t>
            </w:r>
          </w:p>
        </w:tc>
        <w:tc>
          <w:tcPr>
            <w:tcW w:w="2891" w:type="dxa"/>
          </w:tcPr>
          <w:p w:rsidRPr="00294763" w:rsidR="00BA585D" w:rsidP="00373C7D" w:rsidRDefault="00BA585D" w14:paraId="0B629BB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60FD8B15" w14:textId="77777777">
            <w:pPr>
              <w:pStyle w:val="TableCell"/>
              <w:keepNext w:val="0"/>
              <w:keepLines w:val="0"/>
              <w:widowControl w:val="0"/>
              <w:jc w:val="left"/>
              <w:rPr>
                <w:color w:val="0D0D0D" w:themeColor="text1" w:themeTint="F2"/>
                <w:spacing w:val="-2"/>
                <w:sz w:val="18"/>
              </w:rPr>
            </w:pPr>
          </w:p>
        </w:tc>
      </w:tr>
      <w:tr w:rsidRPr="00294763" w:rsidR="00BA585D" w:rsidTr="00373C7D" w14:paraId="6BF235F3" w14:textId="77777777">
        <w:tc>
          <w:tcPr>
            <w:cnfStyle w:val="000010000000" w:firstRow="0" w:lastRow="0" w:firstColumn="0" w:lastColumn="0" w:oddVBand="1" w:evenVBand="0" w:oddHBand="0" w:evenHBand="0" w:firstRowFirstColumn="0" w:firstRowLastColumn="0" w:lastRowFirstColumn="0" w:lastRowLastColumn="0"/>
            <w:tcW w:w="1757" w:type="dxa"/>
            <w:vMerge w:val="restart"/>
          </w:tcPr>
          <w:p w:rsidRPr="00294763" w:rsidR="00BA585D" w:rsidP="00373C7D" w:rsidRDefault="00BA585D" w14:paraId="5EBE0DA1" w14:textId="77777777">
            <w:pPr>
              <w:pStyle w:val="TableRow"/>
              <w:keepNext w:val="0"/>
              <w:keepLines w:val="0"/>
              <w:widowControl w:val="0"/>
              <w:rPr>
                <w:b/>
                <w:color w:val="0D0D0D" w:themeColor="text1" w:themeTint="F2"/>
                <w:spacing w:val="-2"/>
                <w:sz w:val="18"/>
                <w:lang w:val="en-GB"/>
              </w:rPr>
            </w:pPr>
            <w:r w:rsidRPr="00294763">
              <w:rPr>
                <w:b/>
                <w:color w:val="0D0D0D" w:themeColor="text1" w:themeTint="F2"/>
                <w:spacing w:val="-2"/>
                <w:sz w:val="18"/>
                <w:lang w:val="en-GB"/>
              </w:rPr>
              <w:t>Water</w:t>
            </w:r>
            <w:r w:rsidRPr="00294763">
              <w:rPr>
                <w:b/>
                <w:color w:val="0D0D0D" w:themeColor="text1" w:themeTint="F2"/>
                <w:spacing w:val="-2"/>
                <w:sz w:val="18"/>
                <w:lang w:val="en-GB"/>
              </w:rPr>
              <w:br/>
            </w:r>
            <w:r w:rsidRPr="00294763">
              <w:rPr>
                <w:b/>
                <w:color w:val="0D0D0D" w:themeColor="text1" w:themeTint="F2"/>
                <w:spacing w:val="-2"/>
                <w:sz w:val="18"/>
                <w:lang w:val="en-GB"/>
              </w:rPr>
              <w:t>(resources; use)</w:t>
            </w:r>
          </w:p>
        </w:tc>
        <w:tc>
          <w:tcPr>
            <w:tcW w:w="1417" w:type="dxa"/>
            <w:vMerge w:val="restart"/>
            <w:tcBorders>
              <w:top w:val="nil"/>
            </w:tcBorders>
          </w:tcPr>
          <w:p w:rsidRPr="00294763" w:rsidR="00BA585D" w:rsidP="00373C7D" w:rsidRDefault="00BA585D" w14:paraId="3C1DCF5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b/>
                <w:color w:val="0D0D0D" w:themeColor="text1" w:themeTint="F2"/>
                <w:spacing w:val="-2"/>
                <w:sz w:val="18"/>
                <w:lang w:val="en-GB"/>
              </w:rPr>
              <w:t>OECD</w:t>
            </w:r>
            <w:r w:rsidRPr="00294763">
              <w:rPr>
                <w:color w:val="0D0D0D" w:themeColor="text1" w:themeTint="F2"/>
                <w:spacing w:val="-2"/>
                <w:sz w:val="18"/>
                <w:lang w:val="en-GB"/>
              </w:rPr>
              <w:t xml:space="preserve"> (with Eurostat)</w:t>
            </w:r>
          </w:p>
          <w:p w:rsidRPr="00294763" w:rsidR="00BA585D" w:rsidP="00373C7D" w:rsidRDefault="00BA585D" w14:paraId="5EA87ED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lang w:val="en-GB"/>
              </w:rPr>
            </w:pPr>
            <w:r w:rsidRPr="00294763">
              <w:rPr>
                <w:i/>
                <w:color w:val="0D0D0D" w:themeColor="text1" w:themeTint="F2"/>
                <w:spacing w:val="-2"/>
                <w:sz w:val="18"/>
                <w:lang w:val="en-GB"/>
              </w:rPr>
              <w:t>in cooperation with UNSD-</w:t>
            </w:r>
            <w:proofErr w:type="gramStart"/>
            <w:r w:rsidRPr="00294763">
              <w:rPr>
                <w:i/>
                <w:color w:val="0D0D0D" w:themeColor="text1" w:themeTint="F2"/>
                <w:spacing w:val="-2"/>
                <w:sz w:val="18"/>
                <w:lang w:val="en-GB"/>
              </w:rPr>
              <w:t>UN</w:t>
            </w:r>
            <w:r>
              <w:rPr>
                <w:i/>
                <w:color w:val="0D0D0D" w:themeColor="text1" w:themeTint="F2"/>
                <w:spacing w:val="-2"/>
                <w:sz w:val="18"/>
                <w:lang w:val="en-GB"/>
              </w:rPr>
              <w:t>EP</w:t>
            </w:r>
            <w:r w:rsidRPr="00294763">
              <w:rPr>
                <w:i/>
                <w:color w:val="0D0D0D" w:themeColor="text1" w:themeTint="F2"/>
                <w:spacing w:val="-2"/>
                <w:sz w:val="18"/>
                <w:lang w:val="en-GB"/>
              </w:rPr>
              <w:t xml:space="preserve"> ,</w:t>
            </w:r>
            <w:proofErr w:type="gramEnd"/>
            <w:r w:rsidRPr="00294763">
              <w:rPr>
                <w:i/>
                <w:color w:val="0D0D0D" w:themeColor="text1" w:themeTint="F2"/>
                <w:spacing w:val="-2"/>
                <w:sz w:val="18"/>
                <w:lang w:val="en-GB"/>
              </w:rPr>
              <w:t xml:space="preserve"> FAO</w:t>
            </w:r>
          </w:p>
        </w:tc>
        <w:tc>
          <w:tcPr>
            <w:cnfStyle w:val="000010000000" w:firstRow="0" w:lastRow="0" w:firstColumn="0" w:lastColumn="0" w:oddVBand="1" w:evenVBand="0" w:oddHBand="0" w:evenHBand="0" w:firstRowFirstColumn="0" w:firstRowLastColumn="0" w:lastRowFirstColumn="0" w:lastRowLastColumn="0"/>
            <w:tcW w:w="2496" w:type="dxa"/>
            <w:vMerge w:val="restart"/>
          </w:tcPr>
          <w:p w:rsidRPr="00294763" w:rsidR="00BA585D" w:rsidP="00373C7D" w:rsidRDefault="00BA585D" w14:paraId="011610F0" w14:textId="41726441">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 xml:space="preserve">Populate simple </w:t>
            </w:r>
            <w:proofErr w:type="gramStart"/>
            <w:r w:rsidRPr="00294763">
              <w:rPr>
                <w:color w:val="0D0D0D" w:themeColor="text1" w:themeTint="F2"/>
                <w:spacing w:val="-2"/>
                <w:sz w:val="18"/>
                <w:lang w:val="en-GB"/>
              </w:rPr>
              <w:t>SEEA  water</w:t>
            </w:r>
            <w:proofErr w:type="gramEnd"/>
            <w:r w:rsidRPr="00294763">
              <w:rPr>
                <w:color w:val="0D0D0D" w:themeColor="text1" w:themeTint="F2"/>
                <w:spacing w:val="-2"/>
                <w:sz w:val="18"/>
                <w:lang w:val="en-GB"/>
              </w:rPr>
              <w:t xml:space="preserve"> accounts</w:t>
            </w:r>
            <w:r>
              <w:rPr>
                <w:color w:val="0D0D0D" w:themeColor="text1" w:themeTint="F2"/>
                <w:spacing w:val="-2"/>
                <w:sz w:val="18"/>
                <w:lang w:val="en-GB"/>
              </w:rPr>
              <w:t xml:space="preserve"> (pilot)</w:t>
            </w:r>
          </w:p>
        </w:tc>
        <w:tc>
          <w:tcPr>
            <w:tcW w:w="3686" w:type="dxa"/>
            <w:tcBorders>
              <w:top w:val="nil"/>
              <w:bottom w:val="nil"/>
            </w:tcBorders>
          </w:tcPr>
          <w:p w:rsidRPr="00294763" w:rsidR="00BA585D" w:rsidP="00373C7D" w:rsidRDefault="00BA585D" w14:paraId="46948813" w14:textId="7FEE297D">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 xml:space="preserve">Develop and agree on tiered reporting templates </w:t>
            </w:r>
            <w:proofErr w:type="gramStart"/>
            <w:r w:rsidRPr="00294763">
              <w:rPr>
                <w:color w:val="0D0D0D" w:themeColor="text1" w:themeTint="F2"/>
                <w:spacing w:val="-2"/>
                <w:sz w:val="18"/>
                <w:lang w:val="en-GB"/>
              </w:rPr>
              <w:t>for  water</w:t>
            </w:r>
            <w:proofErr w:type="gramEnd"/>
            <w:r w:rsidRPr="00294763">
              <w:rPr>
                <w:color w:val="0D0D0D" w:themeColor="text1" w:themeTint="F2"/>
                <w:spacing w:val="-2"/>
                <w:sz w:val="18"/>
                <w:lang w:val="en-GB"/>
              </w:rPr>
              <w:t xml:space="preserve"> accounts building on the SEEA Technical Note (OECD, Eurostat)</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4B352648"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202</w:t>
            </w:r>
            <w:r>
              <w:rPr>
                <w:color w:val="0D0D0D" w:themeColor="text1" w:themeTint="F2"/>
                <w:spacing w:val="-2"/>
                <w:sz w:val="18"/>
                <w:lang w:val="en-GB"/>
              </w:rPr>
              <w:t>2</w:t>
            </w:r>
            <w:r w:rsidRPr="00294763">
              <w:rPr>
                <w:color w:val="0D0D0D" w:themeColor="text1" w:themeTint="F2"/>
                <w:spacing w:val="-2"/>
                <w:sz w:val="18"/>
                <w:lang w:val="en-GB"/>
              </w:rPr>
              <w:t>-2</w:t>
            </w:r>
            <w:r>
              <w:rPr>
                <w:color w:val="0D0D0D" w:themeColor="text1" w:themeTint="F2"/>
                <w:spacing w:val="-2"/>
                <w:sz w:val="18"/>
                <w:lang w:val="en-GB"/>
              </w:rPr>
              <w:t>3</w:t>
            </w:r>
          </w:p>
        </w:tc>
        <w:tc>
          <w:tcPr>
            <w:tcW w:w="2891" w:type="dxa"/>
          </w:tcPr>
          <w:p w:rsidRPr="00294763" w:rsidR="00BA585D" w:rsidP="00373C7D" w:rsidRDefault="00BA585D" w14:paraId="510A743E"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val="restart"/>
          </w:tcPr>
          <w:p w:rsidRPr="00294763" w:rsidR="00BA585D" w:rsidP="00373C7D" w:rsidRDefault="00BA585D" w14:paraId="191A516E"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B2: ecosystem accounts</w:t>
            </w:r>
          </w:p>
          <w:p w:rsidRPr="00294763" w:rsidR="00BA585D" w:rsidP="00373C7D" w:rsidRDefault="00BA585D" w14:paraId="21B2B9D0" w14:textId="77777777">
            <w:pPr>
              <w:pStyle w:val="TableCell"/>
              <w:keepNext w:val="0"/>
              <w:keepLines w:val="0"/>
              <w:widowControl w:val="0"/>
              <w:jc w:val="left"/>
              <w:rPr>
                <w:color w:val="0D0D0D" w:themeColor="text1" w:themeTint="F2"/>
                <w:spacing w:val="-2"/>
                <w:sz w:val="18"/>
              </w:rPr>
            </w:pPr>
          </w:p>
          <w:p w:rsidRPr="00294763" w:rsidR="00BA585D" w:rsidP="00373C7D" w:rsidRDefault="00BA585D" w14:paraId="608F13A9"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CE indicators</w:t>
            </w:r>
          </w:p>
        </w:tc>
      </w:tr>
      <w:tr w:rsidRPr="00294763" w:rsidR="00BA585D" w:rsidTr="00373C7D" w14:paraId="3FC5BDEB"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460C9946" w14:textId="77777777">
            <w:pPr>
              <w:widowControl w:val="0"/>
              <w:spacing w:line="240" w:lineRule="auto"/>
              <w:rPr>
                <w:rFonts w:ascii="Arial Narrow" w:hAnsi="Arial Narrow"/>
                <w:color w:val="0D0D0D" w:themeColor="text1" w:themeTint="F2"/>
                <w:spacing w:val="-2"/>
                <w:sz w:val="18"/>
                <w:szCs w:val="18"/>
                <w:lang w:val="en-GB"/>
              </w:rPr>
            </w:pPr>
          </w:p>
        </w:tc>
        <w:tc>
          <w:tcPr>
            <w:tcW w:w="1417" w:type="dxa"/>
            <w:vMerge/>
            <w:hideMark/>
          </w:tcPr>
          <w:p w:rsidRPr="00294763" w:rsidR="00BA585D" w:rsidP="00373C7D" w:rsidRDefault="00BA585D" w14:paraId="6C60DEC7"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5B4F7C04" w14:textId="77777777">
            <w:pPr>
              <w:pStyle w:val="TableCell"/>
              <w:keepNext w:val="0"/>
              <w:keepLines w:val="0"/>
              <w:widowControl w:val="0"/>
              <w:jc w:val="left"/>
              <w:rPr>
                <w:color w:val="0D0D0D" w:themeColor="text1" w:themeTint="F2"/>
                <w:spacing w:val="-2"/>
                <w:sz w:val="18"/>
                <w:u w:val="single"/>
                <w:lang w:val="en-GB"/>
              </w:rPr>
            </w:pPr>
          </w:p>
        </w:tc>
        <w:tc>
          <w:tcPr>
            <w:tcW w:w="3686" w:type="dxa"/>
            <w:tcBorders>
              <w:top w:val="nil"/>
              <w:bottom w:val="nil"/>
            </w:tcBorders>
          </w:tcPr>
          <w:p w:rsidRPr="00294763" w:rsidR="00BA585D" w:rsidP="00373C7D" w:rsidRDefault="00BA585D" w14:paraId="13558BE2"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Test the use of country replies to the OECD/Eurostat questionnaire on inland waters for populating the standard template (OECD, Eurostat)</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53E41C31"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202</w:t>
            </w:r>
            <w:r>
              <w:rPr>
                <w:color w:val="0D0D0D" w:themeColor="text1" w:themeTint="F2"/>
                <w:spacing w:val="-2"/>
                <w:sz w:val="18"/>
                <w:lang w:val="en-GB"/>
              </w:rPr>
              <w:t>2</w:t>
            </w:r>
            <w:r w:rsidRPr="00294763">
              <w:rPr>
                <w:color w:val="0D0D0D" w:themeColor="text1" w:themeTint="F2"/>
                <w:spacing w:val="-2"/>
                <w:sz w:val="18"/>
                <w:lang w:val="en-GB"/>
              </w:rPr>
              <w:t>-2</w:t>
            </w:r>
            <w:r>
              <w:rPr>
                <w:color w:val="0D0D0D" w:themeColor="text1" w:themeTint="F2"/>
                <w:spacing w:val="-2"/>
                <w:sz w:val="18"/>
                <w:lang w:val="en-GB"/>
              </w:rPr>
              <w:t>3</w:t>
            </w:r>
          </w:p>
        </w:tc>
        <w:tc>
          <w:tcPr>
            <w:tcW w:w="2891" w:type="dxa"/>
          </w:tcPr>
          <w:p w:rsidRPr="00294763" w:rsidR="00BA585D" w:rsidP="00373C7D" w:rsidRDefault="00BA585D" w14:paraId="711A5B64"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Area A: CE indicators</w:t>
            </w: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1B30F222" w14:textId="77777777">
            <w:pPr>
              <w:pStyle w:val="TableCell"/>
              <w:keepNext w:val="0"/>
              <w:keepLines w:val="0"/>
              <w:widowControl w:val="0"/>
              <w:jc w:val="left"/>
              <w:rPr>
                <w:color w:val="0D0D0D" w:themeColor="text1" w:themeTint="F2"/>
                <w:spacing w:val="-2"/>
                <w:sz w:val="18"/>
              </w:rPr>
            </w:pPr>
          </w:p>
        </w:tc>
      </w:tr>
      <w:tr w:rsidRPr="00294763" w:rsidR="00BA585D" w:rsidTr="00373C7D" w14:paraId="04B1F0EC" w14:textId="77777777">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013C9B9" w14:textId="77777777">
            <w:pPr>
              <w:widowControl w:val="0"/>
              <w:spacing w:line="240" w:lineRule="auto"/>
              <w:rPr>
                <w:rFonts w:ascii="Arial Narrow" w:hAnsi="Arial Narrow"/>
                <w:color w:val="0D0D0D" w:themeColor="text1" w:themeTint="F2"/>
                <w:spacing w:val="-2"/>
                <w:sz w:val="18"/>
                <w:szCs w:val="18"/>
              </w:rPr>
            </w:pPr>
          </w:p>
        </w:tc>
        <w:tc>
          <w:tcPr>
            <w:tcW w:w="1417" w:type="dxa"/>
            <w:vMerge/>
          </w:tcPr>
          <w:p w:rsidRPr="00294763" w:rsidR="00BA585D" w:rsidP="00373C7D" w:rsidRDefault="00BA585D" w14:paraId="322E8085"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3D053EA4" w14:textId="77777777">
            <w:pPr>
              <w:pStyle w:val="TableCell"/>
              <w:keepNext w:val="0"/>
              <w:keepLines w:val="0"/>
              <w:widowControl w:val="0"/>
              <w:jc w:val="left"/>
              <w:rPr>
                <w:color w:val="0D0D0D" w:themeColor="text1" w:themeTint="F2"/>
                <w:spacing w:val="-2"/>
                <w:sz w:val="18"/>
                <w:u w:val="single"/>
              </w:rPr>
            </w:pPr>
          </w:p>
        </w:tc>
        <w:tc>
          <w:tcPr>
            <w:tcW w:w="3686" w:type="dxa"/>
            <w:tcBorders>
              <w:top w:val="nil"/>
              <w:bottom w:val="single" w:color="auto" w:sz="6" w:space="0"/>
            </w:tcBorders>
          </w:tcPr>
          <w:p w:rsidRPr="00294763" w:rsidR="00BA585D" w:rsidP="00373C7D" w:rsidRDefault="00BA585D" w14:paraId="0D40E8A2"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 xml:space="preserve">Establish a database on SEEA </w:t>
            </w:r>
            <w:r w:rsidRPr="00294763">
              <w:rPr>
                <w:color w:val="0D0D0D" w:themeColor="text1" w:themeTint="F2"/>
                <w:spacing w:val="-2"/>
                <w:sz w:val="18"/>
                <w:lang w:val="en-GB"/>
              </w:rPr>
              <w:t>water accounts (starting with EU countries and OECD</w:t>
            </w:r>
            <w:r w:rsidRPr="00294763">
              <w:rPr>
                <w:color w:val="0D0D0D" w:themeColor="text1" w:themeTint="F2"/>
                <w:spacing w:val="-2"/>
                <w:sz w:val="18"/>
              </w:rPr>
              <w:t xml:space="preserve"> member and partner countries) </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color="auto" w:sz="6" w:space="0"/>
            </w:tcBorders>
          </w:tcPr>
          <w:p w:rsidRPr="00294763" w:rsidR="00BA585D" w:rsidP="00373C7D" w:rsidRDefault="00BA585D" w14:paraId="0E29342B"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TBD</w:t>
            </w:r>
          </w:p>
        </w:tc>
        <w:tc>
          <w:tcPr>
            <w:tcW w:w="2891" w:type="dxa"/>
          </w:tcPr>
          <w:p w:rsidRPr="00294763" w:rsidR="00BA585D" w:rsidP="00373C7D" w:rsidRDefault="00BA585D" w14:paraId="5DC31AA1"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vMerge/>
          </w:tcPr>
          <w:p w:rsidRPr="00294763" w:rsidR="00BA585D" w:rsidP="00373C7D" w:rsidRDefault="00BA585D" w14:paraId="20E1777E" w14:textId="77777777">
            <w:pPr>
              <w:pStyle w:val="TableCell"/>
              <w:keepNext w:val="0"/>
              <w:keepLines w:val="0"/>
              <w:widowControl w:val="0"/>
              <w:jc w:val="left"/>
              <w:rPr>
                <w:color w:val="0D0D0D" w:themeColor="text1" w:themeTint="F2"/>
                <w:spacing w:val="-2"/>
                <w:sz w:val="18"/>
              </w:rPr>
            </w:pPr>
          </w:p>
        </w:tc>
      </w:tr>
      <w:tr w:rsidRPr="00294763" w:rsidR="00BA585D" w:rsidTr="00373C7D" w14:paraId="6A98F075" w14:textId="77777777">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tcBorders>
            <w:shd w:val="clear" w:color="auto" w:fill="5B9BD5" w:themeFill="accent1"/>
            <w:tcMar>
              <w:left w:w="28" w:type="dxa"/>
              <w:right w:w="0" w:type="dxa"/>
            </w:tcMar>
          </w:tcPr>
          <w:p w:rsidRPr="00294763" w:rsidR="00BA585D" w:rsidP="00373C7D" w:rsidRDefault="00BA585D" w14:paraId="39744089" w14:textId="77777777">
            <w:pPr>
              <w:pStyle w:val="TableRow"/>
              <w:keepNext w:val="0"/>
              <w:keepLines w:val="0"/>
              <w:widowControl w:val="0"/>
              <w:rPr>
                <w:b/>
                <w:smallCaps/>
                <w:color w:val="0D0D0D" w:themeColor="text1" w:themeTint="F2"/>
                <w:spacing w:val="-4"/>
                <w:sz w:val="18"/>
              </w:rPr>
            </w:pPr>
            <w:r w:rsidRPr="00294763">
              <w:rPr>
                <w:b/>
                <w:smallCaps/>
                <w:color w:val="0D0D0D" w:themeColor="text1" w:themeTint="F2"/>
                <w:spacing w:val="-4"/>
                <w:sz w:val="18"/>
              </w:rPr>
              <w:t>OTHER DEVELOPMENTS</w:t>
            </w:r>
          </w:p>
        </w:tc>
        <w:tc>
          <w:tcPr>
            <w:tcW w:w="1417" w:type="dxa"/>
            <w:tcBorders>
              <w:top w:val="single" w:color="auto" w:sz="6" w:space="0"/>
            </w:tcBorders>
            <w:shd w:val="clear" w:color="auto" w:fill="5B9BD5" w:themeFill="accent1"/>
          </w:tcPr>
          <w:p w:rsidRPr="00294763" w:rsidR="00BA585D" w:rsidP="00373C7D" w:rsidRDefault="00BA585D" w14:paraId="3BDCA774"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2496" w:type="dxa"/>
            <w:tcBorders>
              <w:top w:val="single" w:color="auto" w:sz="6" w:space="0"/>
            </w:tcBorders>
            <w:shd w:val="clear" w:color="auto" w:fill="5B9BD5" w:themeFill="accent1"/>
          </w:tcPr>
          <w:p w:rsidRPr="00294763" w:rsidR="00BA585D" w:rsidP="00373C7D" w:rsidRDefault="00BA585D" w14:paraId="1B10E542" w14:textId="77777777">
            <w:pPr>
              <w:pStyle w:val="TableCell"/>
              <w:keepNext w:val="0"/>
              <w:keepLines w:val="0"/>
              <w:widowControl w:val="0"/>
              <w:jc w:val="left"/>
              <w:rPr>
                <w:color w:val="0D0D0D" w:themeColor="text1" w:themeTint="F2"/>
                <w:spacing w:val="-2"/>
                <w:sz w:val="18"/>
              </w:rPr>
            </w:pPr>
          </w:p>
        </w:tc>
        <w:tc>
          <w:tcPr>
            <w:tcW w:w="3686" w:type="dxa"/>
            <w:tcBorders>
              <w:top w:val="single" w:color="auto" w:sz="6" w:space="0"/>
            </w:tcBorders>
            <w:shd w:val="clear" w:color="auto" w:fill="5B9BD5" w:themeFill="accent1"/>
          </w:tcPr>
          <w:p w:rsidRPr="00294763" w:rsidR="00BA585D" w:rsidP="00373C7D" w:rsidRDefault="00BA585D" w14:paraId="7237DFD4" w14:textId="77777777">
            <w:pPr>
              <w:pStyle w:val="TableCellBullet"/>
              <w:keepNext w:val="0"/>
              <w:keepLines w:val="0"/>
              <w:widowControl w:val="0"/>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shd w:val="clear" w:color="auto" w:fill="5B9BD5" w:themeFill="accent1"/>
          </w:tcPr>
          <w:p w:rsidRPr="00294763" w:rsidR="00BA585D" w:rsidP="00373C7D" w:rsidRDefault="00BA585D" w14:paraId="6492B376" w14:textId="77777777">
            <w:pPr>
              <w:pStyle w:val="TableCell"/>
              <w:keepNext w:val="0"/>
              <w:keepLines w:val="0"/>
              <w:widowControl w:val="0"/>
              <w:jc w:val="left"/>
              <w:rPr>
                <w:color w:val="0D0D0D" w:themeColor="text1" w:themeTint="F2"/>
                <w:spacing w:val="-2"/>
                <w:sz w:val="18"/>
              </w:rPr>
            </w:pPr>
          </w:p>
        </w:tc>
        <w:tc>
          <w:tcPr>
            <w:tcW w:w="2891" w:type="dxa"/>
            <w:tcBorders>
              <w:top w:val="single" w:color="auto" w:sz="6" w:space="0"/>
            </w:tcBorders>
            <w:shd w:val="clear" w:color="auto" w:fill="5B9BD5" w:themeFill="accent1"/>
          </w:tcPr>
          <w:p w:rsidRPr="00294763" w:rsidR="00BA585D" w:rsidP="00373C7D" w:rsidRDefault="00BA585D" w14:paraId="6AFBA1F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tcBorders>
            <w:shd w:val="clear" w:color="auto" w:fill="5B9BD5" w:themeFill="accent1"/>
          </w:tcPr>
          <w:p w:rsidRPr="00294763" w:rsidR="00BA585D" w:rsidP="00373C7D" w:rsidRDefault="00BA585D" w14:paraId="528244DF" w14:textId="77777777">
            <w:pPr>
              <w:pStyle w:val="TableCell"/>
              <w:keepNext w:val="0"/>
              <w:keepLines w:val="0"/>
              <w:widowControl w:val="0"/>
              <w:jc w:val="left"/>
              <w:rPr>
                <w:color w:val="0D0D0D" w:themeColor="text1" w:themeTint="F2"/>
                <w:spacing w:val="-2"/>
                <w:sz w:val="18"/>
              </w:rPr>
            </w:pPr>
          </w:p>
        </w:tc>
      </w:tr>
      <w:tr w:rsidRPr="00294763" w:rsidR="00BA585D" w:rsidTr="00373C7D" w14:paraId="4B5CAC2B" w14:textId="77777777">
        <w:tc>
          <w:tcPr>
            <w:cnfStyle w:val="000010000000" w:firstRow="0" w:lastRow="0" w:firstColumn="0" w:lastColumn="0" w:oddVBand="1" w:evenVBand="0" w:oddHBand="0" w:evenHBand="0" w:firstRowFirstColumn="0" w:firstRowLastColumn="0" w:lastRowFirstColumn="0" w:lastRowLastColumn="0"/>
            <w:tcW w:w="1757" w:type="dxa"/>
            <w:vMerge w:val="restart"/>
            <w:tcBorders>
              <w:top w:val="single" w:color="auto" w:sz="6" w:space="0"/>
            </w:tcBorders>
          </w:tcPr>
          <w:p w:rsidRPr="00294763" w:rsidR="00BA585D" w:rsidP="00373C7D" w:rsidRDefault="00BA585D" w14:paraId="084DA35B" w14:textId="77777777">
            <w:pPr>
              <w:pStyle w:val="TableRow"/>
              <w:keepNext w:val="0"/>
              <w:keepLines w:val="0"/>
              <w:widowControl w:val="0"/>
              <w:rPr>
                <w:b/>
                <w:color w:val="0D0D0D" w:themeColor="text1" w:themeTint="F2"/>
                <w:spacing w:val="-2"/>
                <w:sz w:val="18"/>
                <w:lang w:val="en-GB"/>
              </w:rPr>
            </w:pPr>
            <w:r w:rsidRPr="00294763">
              <w:rPr>
                <w:b/>
                <w:color w:val="0D0D0D" w:themeColor="text1" w:themeTint="F2"/>
                <w:spacing w:val="-2"/>
                <w:sz w:val="18"/>
                <w:lang w:val="en-GB"/>
              </w:rPr>
              <w:t>Additional priority accounts</w:t>
            </w:r>
          </w:p>
        </w:tc>
        <w:tc>
          <w:tcPr>
            <w:tcW w:w="1417" w:type="dxa"/>
            <w:vMerge w:val="restart"/>
            <w:tcBorders>
              <w:top w:val="single" w:color="auto" w:sz="6" w:space="0"/>
            </w:tcBorders>
          </w:tcPr>
          <w:p w:rsidRPr="00294763" w:rsidR="00BA585D" w:rsidP="00373C7D" w:rsidRDefault="00BA585D" w14:paraId="25808E49"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All involved</w:t>
            </w:r>
          </w:p>
        </w:tc>
        <w:tc>
          <w:tcPr>
            <w:cnfStyle w:val="000010000000" w:firstRow="0" w:lastRow="0" w:firstColumn="0" w:lastColumn="0" w:oddVBand="1" w:evenVBand="0" w:oddHBand="0" w:evenHBand="0" w:firstRowFirstColumn="0" w:firstRowLastColumn="0" w:lastRowFirstColumn="0" w:lastRowLastColumn="0"/>
            <w:tcW w:w="2496" w:type="dxa"/>
            <w:vMerge w:val="restart"/>
            <w:tcBorders>
              <w:top w:val="single" w:color="auto" w:sz="6" w:space="0"/>
            </w:tcBorders>
          </w:tcPr>
          <w:p w:rsidRPr="00294763" w:rsidR="00BA585D" w:rsidP="00373C7D" w:rsidRDefault="00BA585D" w14:paraId="4FDF5126" w14:textId="77777777">
            <w:pPr>
              <w:pStyle w:val="TableCell"/>
              <w:keepNext w:val="0"/>
              <w:keepLines w:val="0"/>
              <w:widowControl w:val="0"/>
              <w:jc w:val="left"/>
              <w:rPr>
                <w:color w:val="0D0D0D" w:themeColor="text1" w:themeTint="F2"/>
                <w:spacing w:val="-2"/>
                <w:sz w:val="18"/>
                <w:lang w:val="en-GB"/>
              </w:rPr>
            </w:pPr>
            <w:r w:rsidRPr="00294763">
              <w:rPr>
                <w:color w:val="0D0D0D" w:themeColor="text1" w:themeTint="F2"/>
                <w:spacing w:val="-2"/>
                <w:sz w:val="18"/>
                <w:lang w:val="en-GB"/>
              </w:rPr>
              <w:t>Identify a small set of future priority accounts</w:t>
            </w:r>
          </w:p>
        </w:tc>
        <w:tc>
          <w:tcPr>
            <w:tcW w:w="3686" w:type="dxa"/>
            <w:tcBorders>
              <w:top w:val="single" w:color="auto" w:sz="6" w:space="0"/>
            </w:tcBorders>
          </w:tcPr>
          <w:p w:rsidRPr="00294763" w:rsidR="00BA585D" w:rsidP="00373C7D" w:rsidRDefault="00BA585D" w14:paraId="4538F559"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Discuss the potential of other accounts to become priority accounts at UNCEEA meeting</w:t>
            </w:r>
          </w:p>
        </w:tc>
        <w:tc>
          <w:tcPr>
            <w:cnfStyle w:val="000010000000" w:firstRow="0" w:lastRow="0" w:firstColumn="0" w:lastColumn="0" w:oddVBand="1" w:evenVBand="0" w:oddHBand="0" w:evenHBand="0" w:firstRowFirstColumn="0" w:firstRowLastColumn="0" w:lastRowFirstColumn="0" w:lastRowLastColumn="0"/>
            <w:tcW w:w="1134" w:type="dxa"/>
            <w:tcBorders>
              <w:top w:val="single" w:color="auto" w:sz="6" w:space="0"/>
            </w:tcBorders>
          </w:tcPr>
          <w:p w:rsidRPr="00294763" w:rsidR="00BA585D" w:rsidP="00373C7D" w:rsidRDefault="00BA585D" w14:paraId="3529294E" w14:textId="77777777">
            <w:pPr>
              <w:pStyle w:val="TableCell"/>
              <w:jc w:val="left"/>
              <w:rPr>
                <w:color w:val="0D0D0D" w:themeColor="text1" w:themeTint="F2"/>
                <w:szCs w:val="17"/>
                <w:lang w:val="en-GB"/>
              </w:rPr>
            </w:pPr>
            <w:r w:rsidRPr="4BD17138">
              <w:rPr>
                <w:color w:val="0D0D0D" w:themeColor="text1" w:themeTint="F2"/>
                <w:sz w:val="18"/>
                <w:lang w:val="en-GB"/>
              </w:rPr>
              <w:t>TBD</w:t>
            </w:r>
            <w:r>
              <w:rPr>
                <w:color w:val="0D0D0D" w:themeColor="text1" w:themeTint="F2"/>
                <w:sz w:val="18"/>
                <w:lang w:val="en-GB"/>
              </w:rPr>
              <w:t>, as of 2023</w:t>
            </w:r>
          </w:p>
        </w:tc>
        <w:tc>
          <w:tcPr>
            <w:tcW w:w="2891" w:type="dxa"/>
            <w:tcBorders>
              <w:top w:val="single" w:color="auto" w:sz="6" w:space="0"/>
            </w:tcBorders>
          </w:tcPr>
          <w:p w:rsidRPr="00294763" w:rsidR="00BA585D" w:rsidP="00373C7D" w:rsidRDefault="00BA585D" w14:paraId="0722643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Borders>
              <w:top w:val="single" w:color="auto" w:sz="6" w:space="0"/>
            </w:tcBorders>
          </w:tcPr>
          <w:p w:rsidRPr="00294763" w:rsidR="00BA585D" w:rsidP="00373C7D" w:rsidRDefault="00BA585D" w14:paraId="4D6C35E7" w14:textId="77777777">
            <w:pPr>
              <w:pStyle w:val="TableCell"/>
              <w:keepNext w:val="0"/>
              <w:keepLines w:val="0"/>
              <w:widowControl w:val="0"/>
              <w:jc w:val="left"/>
              <w:rPr>
                <w:color w:val="0D0D0D" w:themeColor="text1" w:themeTint="F2"/>
                <w:spacing w:val="-2"/>
                <w:sz w:val="18"/>
              </w:rPr>
            </w:pPr>
          </w:p>
        </w:tc>
      </w:tr>
      <w:tr w:rsidRPr="00294763" w:rsidR="00BA585D" w:rsidTr="00373C7D" w14:paraId="4F062899"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3D45D1E0" w14:textId="77777777">
            <w:pPr>
              <w:widowControl w:val="0"/>
              <w:spacing w:line="240" w:lineRule="auto"/>
              <w:rPr>
                <w:rFonts w:ascii="Arial Narrow" w:hAnsi="Arial Narrow"/>
                <w:color w:val="0D0D0D" w:themeColor="text1" w:themeTint="F2"/>
                <w:spacing w:val="-2"/>
                <w:sz w:val="18"/>
                <w:szCs w:val="18"/>
                <w:lang w:val="en-GB"/>
              </w:rPr>
            </w:pPr>
          </w:p>
        </w:tc>
        <w:tc>
          <w:tcPr>
            <w:tcW w:w="1417" w:type="dxa"/>
            <w:vMerge/>
            <w:hideMark/>
          </w:tcPr>
          <w:p w:rsidRPr="00294763" w:rsidR="00BA585D" w:rsidP="00373C7D" w:rsidRDefault="00BA585D" w14:paraId="3A915990"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7525C552" w14:textId="77777777">
            <w:pPr>
              <w:pStyle w:val="TableCell"/>
              <w:keepNext w:val="0"/>
              <w:keepLines w:val="0"/>
              <w:widowControl w:val="0"/>
              <w:jc w:val="left"/>
              <w:rPr>
                <w:color w:val="0D0D0D" w:themeColor="text1" w:themeTint="F2"/>
                <w:spacing w:val="-2"/>
                <w:sz w:val="18"/>
                <w:lang w:val="en-GB"/>
              </w:rPr>
            </w:pPr>
          </w:p>
        </w:tc>
        <w:tc>
          <w:tcPr>
            <w:tcW w:w="3686" w:type="dxa"/>
          </w:tcPr>
          <w:p w:rsidRPr="00294763" w:rsidR="00BA585D" w:rsidP="00373C7D" w:rsidRDefault="00BA585D" w14:paraId="450FDD17"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lang w:val="en-GB"/>
              </w:rPr>
            </w:pPr>
            <w:r w:rsidRPr="00294763">
              <w:rPr>
                <w:color w:val="0D0D0D" w:themeColor="text1" w:themeTint="F2"/>
                <w:spacing w:val="-2"/>
                <w:sz w:val="18"/>
                <w:lang w:val="en-GB"/>
              </w:rPr>
              <w:t xml:space="preserve">Review the status of the selected accounts, identify the developments required and related </w:t>
            </w:r>
            <w:r w:rsidRPr="00294763">
              <w:rPr>
                <w:color w:val="0D0D0D" w:themeColor="text1" w:themeTint="F2"/>
                <w:spacing w:val="-2"/>
                <w:sz w:val="18"/>
                <w:lang w:val="en-GB"/>
              </w:rPr>
              <w:lastRenderedPageBreak/>
              <w:t>arrangements among IOs</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0CA19067"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lastRenderedPageBreak/>
              <w:t>Ongoing</w:t>
            </w:r>
          </w:p>
        </w:tc>
        <w:tc>
          <w:tcPr>
            <w:tcW w:w="2891" w:type="dxa"/>
          </w:tcPr>
          <w:p w:rsidRPr="00294763" w:rsidR="00BA585D" w:rsidP="00373C7D" w:rsidRDefault="00BA585D" w14:paraId="2D2D791D"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448C2221" w14:textId="77777777">
            <w:pPr>
              <w:pStyle w:val="TableCell"/>
              <w:keepNext w:val="0"/>
              <w:keepLines w:val="0"/>
              <w:widowControl w:val="0"/>
              <w:jc w:val="left"/>
              <w:rPr>
                <w:color w:val="0D0D0D" w:themeColor="text1" w:themeTint="F2"/>
                <w:spacing w:val="-2"/>
                <w:sz w:val="18"/>
              </w:rPr>
            </w:pPr>
          </w:p>
        </w:tc>
      </w:tr>
      <w:tr w:rsidRPr="00294763" w:rsidR="00BA585D" w:rsidTr="00373C7D" w14:paraId="28F4A546" w14:textId="77777777">
        <w:tc>
          <w:tcPr>
            <w:cnfStyle w:val="000010000000" w:firstRow="0" w:lastRow="0" w:firstColumn="0" w:lastColumn="0" w:oddVBand="1" w:evenVBand="0" w:oddHBand="0" w:evenHBand="0" w:firstRowFirstColumn="0" w:firstRowLastColumn="0" w:lastRowFirstColumn="0" w:lastRowLastColumn="0"/>
            <w:tcW w:w="1757" w:type="dxa"/>
            <w:vMerge/>
            <w:hideMark/>
          </w:tcPr>
          <w:p w:rsidRPr="00294763" w:rsidR="00BA585D" w:rsidP="00373C7D" w:rsidRDefault="00BA585D" w14:paraId="3A5062E7" w14:textId="77777777">
            <w:pPr>
              <w:widowControl w:val="0"/>
              <w:spacing w:line="240" w:lineRule="auto"/>
              <w:rPr>
                <w:rFonts w:ascii="Arial Narrow" w:hAnsi="Arial Narrow"/>
                <w:color w:val="0D0D0D" w:themeColor="text1" w:themeTint="F2"/>
                <w:spacing w:val="-2"/>
                <w:sz w:val="18"/>
                <w:szCs w:val="18"/>
                <w:lang w:val="en-GB"/>
              </w:rPr>
            </w:pPr>
          </w:p>
        </w:tc>
        <w:tc>
          <w:tcPr>
            <w:tcW w:w="1417" w:type="dxa"/>
            <w:vMerge/>
            <w:hideMark/>
          </w:tcPr>
          <w:p w:rsidRPr="00294763" w:rsidR="00BA585D" w:rsidP="00373C7D" w:rsidRDefault="00BA585D" w14:paraId="38EF1248"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lang w:val="en-GB"/>
              </w:rPr>
            </w:pPr>
          </w:p>
        </w:tc>
        <w:tc>
          <w:tcPr>
            <w:cnfStyle w:val="000010000000" w:firstRow="0" w:lastRow="0" w:firstColumn="0" w:lastColumn="0" w:oddVBand="1" w:evenVBand="0" w:oddHBand="0" w:evenHBand="0" w:firstRowFirstColumn="0" w:firstRowLastColumn="0" w:lastRowFirstColumn="0" w:lastRowLastColumn="0"/>
            <w:tcW w:w="2496" w:type="dxa"/>
            <w:vMerge/>
          </w:tcPr>
          <w:p w:rsidRPr="00294763" w:rsidR="00BA585D" w:rsidP="00373C7D" w:rsidRDefault="00BA585D" w14:paraId="469D303E" w14:textId="77777777">
            <w:pPr>
              <w:pStyle w:val="TableCell"/>
              <w:keepNext w:val="0"/>
              <w:keepLines w:val="0"/>
              <w:widowControl w:val="0"/>
              <w:jc w:val="left"/>
              <w:rPr>
                <w:color w:val="0D0D0D" w:themeColor="text1" w:themeTint="F2"/>
                <w:spacing w:val="-2"/>
                <w:sz w:val="18"/>
                <w:lang w:val="en-GB"/>
              </w:rPr>
            </w:pPr>
          </w:p>
        </w:tc>
        <w:tc>
          <w:tcPr>
            <w:tcW w:w="3686" w:type="dxa"/>
          </w:tcPr>
          <w:p w:rsidRPr="00294763" w:rsidR="00BA585D" w:rsidP="00373C7D" w:rsidRDefault="00BA585D" w14:paraId="17509D6E" w14:textId="77777777">
            <w:pPr>
              <w:pStyle w:val="TableCellBullet"/>
              <w:keepNext w:val="0"/>
              <w:keepLines w:val="0"/>
              <w:widowControl w:val="0"/>
              <w:spacing w:before="0" w:after="0"/>
              <w:ind w:left="227" w:hanging="227"/>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lang w:val="en-GB"/>
              </w:rPr>
            </w:pPr>
            <w:r w:rsidRPr="00294763">
              <w:rPr>
                <w:color w:val="0D0D0D" w:themeColor="text1" w:themeTint="F2"/>
                <w:spacing w:val="-2"/>
                <w:sz w:val="18"/>
              </w:rPr>
              <w:t>Decide upon future priority accounts and roadmap at UNCEEA meeting</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0AB455D0" w14:textId="77777777">
            <w:pPr>
              <w:pStyle w:val="TableCell"/>
              <w:keepNext w:val="0"/>
              <w:keepLines w:val="0"/>
              <w:widowControl w:val="0"/>
              <w:jc w:val="left"/>
              <w:rPr>
                <w:color w:val="0D0D0D" w:themeColor="text1" w:themeTint="F2"/>
                <w:spacing w:val="-2"/>
                <w:sz w:val="18"/>
                <w:lang w:val="en-GB"/>
              </w:rPr>
            </w:pPr>
            <w:r>
              <w:rPr>
                <w:color w:val="0D0D0D" w:themeColor="text1" w:themeTint="F2"/>
                <w:spacing w:val="-2"/>
                <w:sz w:val="18"/>
                <w:lang w:val="en-GB"/>
              </w:rPr>
              <w:t>TBD</w:t>
            </w:r>
          </w:p>
        </w:tc>
        <w:tc>
          <w:tcPr>
            <w:tcW w:w="2891" w:type="dxa"/>
          </w:tcPr>
          <w:p w:rsidRPr="00294763" w:rsidR="00BA585D" w:rsidP="00373C7D" w:rsidRDefault="00BA585D" w14:paraId="434CBFA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7261B1F3" w14:textId="77777777">
            <w:pPr>
              <w:pStyle w:val="TableCell"/>
              <w:keepNext w:val="0"/>
              <w:keepLines w:val="0"/>
              <w:widowControl w:val="0"/>
              <w:jc w:val="left"/>
              <w:rPr>
                <w:color w:val="0D0D0D" w:themeColor="text1" w:themeTint="F2"/>
                <w:spacing w:val="-2"/>
                <w:sz w:val="18"/>
              </w:rPr>
            </w:pPr>
          </w:p>
        </w:tc>
      </w:tr>
      <w:tr w:rsidRPr="00294763" w:rsidR="00BA585D" w:rsidTr="00373C7D" w14:paraId="3F0C185F" w14:textId="77777777">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4C753AC8" w14:textId="77777777">
            <w:pPr>
              <w:widowControl w:val="0"/>
              <w:spacing w:line="240" w:lineRule="auto"/>
              <w:rPr>
                <w:rFonts w:ascii="Arial Narrow" w:hAnsi="Arial Narrow"/>
                <w:b/>
                <w:color w:val="0D0D0D" w:themeColor="text1" w:themeTint="F2"/>
                <w:spacing w:val="-2"/>
                <w:sz w:val="18"/>
                <w:szCs w:val="18"/>
              </w:rPr>
            </w:pPr>
            <w:r w:rsidRPr="00294763">
              <w:rPr>
                <w:rFonts w:ascii="Arial Narrow" w:hAnsi="Arial Narrow"/>
                <w:b/>
                <w:color w:val="0D0D0D" w:themeColor="text1" w:themeTint="F2"/>
                <w:spacing w:val="-2"/>
                <w:sz w:val="18"/>
                <w:szCs w:val="18"/>
              </w:rPr>
              <w:t>Integrated database</w:t>
            </w:r>
          </w:p>
        </w:tc>
        <w:tc>
          <w:tcPr>
            <w:tcW w:w="1417" w:type="dxa"/>
          </w:tcPr>
          <w:p w:rsidRPr="00294763" w:rsidR="00BA585D" w:rsidP="00373C7D" w:rsidRDefault="00BA585D" w14:paraId="485CE804"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r w:rsidRPr="00294763">
              <w:rPr>
                <w:rFonts w:ascii="Arial Narrow" w:hAnsi="Arial Narrow"/>
                <w:b/>
                <w:color w:val="0D0D0D" w:themeColor="text1" w:themeTint="F2"/>
                <w:spacing w:val="-2"/>
                <w:sz w:val="18"/>
                <w:szCs w:val="18"/>
                <w:lang w:val="en-GB"/>
              </w:rPr>
              <w:t xml:space="preserve">OECD, Eurostat </w:t>
            </w:r>
            <w:r w:rsidRPr="00294763">
              <w:rPr>
                <w:rFonts w:ascii="Arial Narrow" w:hAnsi="Arial Narrow"/>
                <w:color w:val="0D0D0D" w:themeColor="text1" w:themeTint="F2"/>
                <w:spacing w:val="-2"/>
                <w:sz w:val="18"/>
                <w:szCs w:val="18"/>
                <w:lang w:val="en-GB"/>
              </w:rPr>
              <w:t>(tbc)</w:t>
            </w: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2F3DC7BB"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lang w:val="en-GB"/>
              </w:rPr>
              <w:t xml:space="preserve">Work towards combining SEEA accounts (integrated </w:t>
            </w:r>
            <w:proofErr w:type="spellStart"/>
            <w:r w:rsidRPr="00294763">
              <w:rPr>
                <w:color w:val="0D0D0D" w:themeColor="text1" w:themeTint="F2"/>
                <w:spacing w:val="-2"/>
                <w:sz w:val="18"/>
                <w:lang w:val="en-GB"/>
              </w:rPr>
              <w:t>db</w:t>
            </w:r>
            <w:proofErr w:type="spellEnd"/>
            <w:r w:rsidRPr="00294763">
              <w:rPr>
                <w:color w:val="0D0D0D" w:themeColor="text1" w:themeTint="F2"/>
                <w:spacing w:val="-2"/>
                <w:sz w:val="18"/>
                <w:lang w:val="en-GB"/>
              </w:rPr>
              <w:t>)</w:t>
            </w:r>
          </w:p>
        </w:tc>
        <w:tc>
          <w:tcPr>
            <w:tcW w:w="3686" w:type="dxa"/>
          </w:tcPr>
          <w:p w:rsidR="00BA585D" w:rsidP="00373C7D" w:rsidRDefault="00BA585D" w14:paraId="70242872"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lang w:val="en-GB"/>
              </w:rPr>
            </w:pPr>
            <w:r>
              <w:rPr>
                <w:i/>
                <w:color w:val="0D0D0D" w:themeColor="text1" w:themeTint="F2"/>
                <w:spacing w:val="-2"/>
                <w:sz w:val="18"/>
                <w:lang w:val="en-GB"/>
              </w:rPr>
              <w:t>For discussion:</w:t>
            </w:r>
          </w:p>
          <w:p w:rsidR="00BA585D" w:rsidP="00373C7D" w:rsidRDefault="00BA585D" w14:paraId="3630A39D"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lang w:val="en-GB"/>
              </w:rPr>
            </w:pPr>
            <w:r>
              <w:rPr>
                <w:color w:val="0D0D0D" w:themeColor="text1" w:themeTint="F2"/>
                <w:spacing w:val="-2"/>
                <w:sz w:val="18"/>
                <w:lang w:val="en-GB"/>
              </w:rPr>
              <w:t xml:space="preserve">Integrated environment-economy </w:t>
            </w:r>
            <w:proofErr w:type="spellStart"/>
            <w:proofErr w:type="gramStart"/>
            <w:r>
              <w:rPr>
                <w:color w:val="0D0D0D" w:themeColor="text1" w:themeTint="F2"/>
                <w:spacing w:val="-2"/>
                <w:sz w:val="18"/>
                <w:lang w:val="en-GB"/>
              </w:rPr>
              <w:t>db</w:t>
            </w:r>
            <w:proofErr w:type="spellEnd"/>
            <w:r w:rsidRPr="00294763">
              <w:rPr>
                <w:i/>
                <w:color w:val="0D0D0D" w:themeColor="text1" w:themeTint="F2"/>
                <w:spacing w:val="-2"/>
                <w:sz w:val="18"/>
                <w:lang w:val="en-GB"/>
              </w:rPr>
              <w:t>(</w:t>
            </w:r>
            <w:proofErr w:type="gramEnd"/>
            <w:r w:rsidRPr="00294763">
              <w:rPr>
                <w:i/>
                <w:color w:val="0D0D0D" w:themeColor="text1" w:themeTint="F2"/>
                <w:spacing w:val="-2"/>
                <w:sz w:val="18"/>
                <w:lang w:val="en-GB"/>
              </w:rPr>
              <w:t>could start with air emissions</w:t>
            </w:r>
            <w:r>
              <w:rPr>
                <w:i/>
                <w:color w:val="0D0D0D" w:themeColor="text1" w:themeTint="F2"/>
                <w:spacing w:val="-2"/>
                <w:sz w:val="18"/>
                <w:lang w:val="en-GB"/>
              </w:rPr>
              <w:t>, including GHG</w:t>
            </w:r>
            <w:r w:rsidRPr="00294763">
              <w:rPr>
                <w:i/>
                <w:color w:val="0D0D0D" w:themeColor="text1" w:themeTint="F2"/>
                <w:spacing w:val="-2"/>
                <w:sz w:val="18"/>
                <w:lang w:val="en-GB"/>
              </w:rPr>
              <w:t>, energy and tax revenue-not yet a priority account)</w:t>
            </w:r>
            <w:r>
              <w:rPr>
                <w:i/>
                <w:color w:val="0D0D0D" w:themeColor="text1" w:themeTint="F2"/>
                <w:spacing w:val="-2"/>
                <w:sz w:val="18"/>
                <w:lang w:val="en-GB"/>
              </w:rPr>
              <w:t>.</w:t>
            </w:r>
          </w:p>
          <w:p w:rsidRPr="00294763" w:rsidR="00BA585D" w:rsidP="00373C7D" w:rsidRDefault="00BA585D" w14:paraId="03017DCE"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rPr>
            </w:pPr>
            <w:r>
              <w:rPr>
                <w:i/>
                <w:color w:val="0D0D0D" w:themeColor="text1" w:themeTint="F2"/>
                <w:spacing w:val="-2"/>
                <w:sz w:val="18"/>
                <w:lang w:val="en-GB"/>
              </w:rPr>
              <w:t xml:space="preserve">Integrated circular economy </w:t>
            </w:r>
            <w:proofErr w:type="spellStart"/>
            <w:r>
              <w:rPr>
                <w:i/>
                <w:color w:val="0D0D0D" w:themeColor="text1" w:themeTint="F2"/>
                <w:spacing w:val="-2"/>
                <w:sz w:val="18"/>
                <w:lang w:val="en-GB"/>
              </w:rPr>
              <w:t>db</w:t>
            </w:r>
            <w:proofErr w:type="spellEnd"/>
            <w:r>
              <w:rPr>
                <w:i/>
                <w:color w:val="0D0D0D" w:themeColor="text1" w:themeTint="F2"/>
                <w:spacing w:val="-2"/>
                <w:sz w:val="18"/>
                <w:lang w:val="en-GB"/>
              </w:rPr>
              <w:t xml:space="preserve"> (feasibility to be assessed)</w:t>
            </w:r>
          </w:p>
        </w:tc>
        <w:tc>
          <w:tcPr>
            <w:cnfStyle w:val="000010000000" w:firstRow="0" w:lastRow="0" w:firstColumn="0" w:lastColumn="0" w:oddVBand="1" w:evenVBand="0" w:oddHBand="0" w:evenHBand="0" w:firstRowFirstColumn="0" w:firstRowLastColumn="0" w:lastRowFirstColumn="0" w:lastRowLastColumn="0"/>
            <w:tcW w:w="1134" w:type="dxa"/>
          </w:tcPr>
          <w:p w:rsidR="00BA585D" w:rsidP="00373C7D" w:rsidRDefault="00BA585D" w14:paraId="6B43EB0D" w14:textId="77777777">
            <w:pPr>
              <w:pStyle w:val="TableCell"/>
              <w:keepNext w:val="0"/>
              <w:keepLines w:val="0"/>
              <w:widowControl w:val="0"/>
              <w:jc w:val="left"/>
              <w:rPr>
                <w:color w:val="0D0D0D" w:themeColor="text1" w:themeTint="F2"/>
                <w:spacing w:val="-2"/>
                <w:sz w:val="18"/>
              </w:rPr>
            </w:pPr>
          </w:p>
          <w:p w:rsidRPr="00294763" w:rsidR="00BA585D" w:rsidP="00373C7D" w:rsidRDefault="00BA585D" w14:paraId="279D39CD"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Ongoing</w:t>
            </w:r>
          </w:p>
        </w:tc>
        <w:tc>
          <w:tcPr>
            <w:tcW w:w="2891" w:type="dxa"/>
          </w:tcPr>
          <w:p w:rsidRPr="00294763" w:rsidR="00BA585D" w:rsidP="00373C7D" w:rsidRDefault="00BA585D" w14:paraId="55BF436A"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258A2076"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Area A: CE, climate, …</w:t>
            </w:r>
          </w:p>
        </w:tc>
      </w:tr>
      <w:tr w:rsidRPr="00294763" w:rsidR="00BA585D" w:rsidTr="00373C7D" w14:paraId="29DA6655" w14:textId="77777777">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4E0FD59E" w14:textId="77777777">
            <w:pPr>
              <w:widowControl w:val="0"/>
              <w:spacing w:line="240" w:lineRule="auto"/>
              <w:jc w:val="left"/>
              <w:rPr>
                <w:rFonts w:ascii="Arial Narrow" w:hAnsi="Arial Narrow"/>
                <w:color w:val="0D0D0D" w:themeColor="text1" w:themeTint="F2"/>
                <w:spacing w:val="-2"/>
                <w:sz w:val="18"/>
                <w:szCs w:val="18"/>
              </w:rPr>
            </w:pPr>
            <w:r w:rsidRPr="00294763">
              <w:rPr>
                <w:rFonts w:ascii="Arial Narrow" w:hAnsi="Arial Narrow"/>
                <w:b/>
                <w:color w:val="0D0D0D" w:themeColor="text1" w:themeTint="F2"/>
                <w:spacing w:val="-2"/>
                <w:sz w:val="18"/>
                <w:szCs w:val="18"/>
              </w:rPr>
              <w:t xml:space="preserve">Overall coordination and governance </w:t>
            </w:r>
          </w:p>
        </w:tc>
        <w:tc>
          <w:tcPr>
            <w:tcW w:w="1417" w:type="dxa"/>
          </w:tcPr>
          <w:p w:rsidRPr="00294763" w:rsidR="00BA585D" w:rsidP="00373C7D" w:rsidRDefault="00BA585D" w14:paraId="5082F7D2"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r w:rsidRPr="00294763">
              <w:rPr>
                <w:rFonts w:ascii="Arial Narrow" w:hAnsi="Arial Narrow"/>
                <w:b/>
                <w:color w:val="0D0D0D" w:themeColor="text1" w:themeTint="F2"/>
                <w:spacing w:val="-2"/>
                <w:sz w:val="18"/>
                <w:szCs w:val="18"/>
              </w:rPr>
              <w:t>OECD</w:t>
            </w:r>
            <w:r w:rsidRPr="00294763">
              <w:rPr>
                <w:rFonts w:ascii="Arial Narrow" w:hAnsi="Arial Narrow"/>
                <w:color w:val="0D0D0D" w:themeColor="text1" w:themeTint="F2"/>
                <w:spacing w:val="-2"/>
                <w:sz w:val="18"/>
                <w:szCs w:val="18"/>
              </w:rPr>
              <w:t xml:space="preserve"> (all involved)</w:t>
            </w: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4B6A22EF" w14:textId="77777777">
            <w:pPr>
              <w:pStyle w:val="TableCell"/>
              <w:keepNext w:val="0"/>
              <w:keepLines w:val="0"/>
              <w:widowControl w:val="0"/>
              <w:jc w:val="left"/>
              <w:rPr>
                <w:color w:val="0D0D0D" w:themeColor="text1" w:themeTint="F2"/>
                <w:spacing w:val="-2"/>
                <w:sz w:val="18"/>
                <w:u w:val="single"/>
              </w:rPr>
            </w:pPr>
            <w:r w:rsidRPr="00294763">
              <w:rPr>
                <w:color w:val="0D0D0D" w:themeColor="text1" w:themeTint="F2"/>
                <w:spacing w:val="-2"/>
                <w:sz w:val="18"/>
              </w:rPr>
              <w:t>(</w:t>
            </w:r>
            <w:proofErr w:type="gramStart"/>
            <w:r w:rsidRPr="00294763">
              <w:rPr>
                <w:color w:val="0D0D0D" w:themeColor="text1" w:themeTint="F2"/>
                <w:spacing w:val="-2"/>
                <w:sz w:val="18"/>
              </w:rPr>
              <w:t>pending</w:t>
            </w:r>
            <w:proofErr w:type="gramEnd"/>
            <w:r w:rsidRPr="00294763">
              <w:rPr>
                <w:color w:val="0D0D0D" w:themeColor="text1" w:themeTint="F2"/>
                <w:spacing w:val="-2"/>
                <w:sz w:val="18"/>
              </w:rPr>
              <w:t xml:space="preserve"> tasks)</w:t>
            </w:r>
          </w:p>
        </w:tc>
        <w:tc>
          <w:tcPr>
            <w:tcW w:w="3686" w:type="dxa"/>
          </w:tcPr>
          <w:p w:rsidRPr="00294763" w:rsidR="00BA585D" w:rsidP="00373C7D" w:rsidRDefault="00BA585D" w14:paraId="41CAF707"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227396F8" w14:textId="77777777">
            <w:pPr>
              <w:pStyle w:val="TableCell"/>
              <w:keepNext w:val="0"/>
              <w:keepLines w:val="0"/>
              <w:widowControl w:val="0"/>
              <w:jc w:val="left"/>
              <w:rPr>
                <w:color w:val="0D0D0D" w:themeColor="text1" w:themeTint="F2"/>
                <w:spacing w:val="-2"/>
                <w:sz w:val="18"/>
              </w:rPr>
            </w:pPr>
          </w:p>
        </w:tc>
        <w:tc>
          <w:tcPr>
            <w:tcW w:w="2891" w:type="dxa"/>
          </w:tcPr>
          <w:p w:rsidRPr="00294763" w:rsidR="00BA585D" w:rsidP="00373C7D" w:rsidRDefault="00BA585D" w14:paraId="47737040"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32A61E05" w14:textId="77777777">
            <w:pPr>
              <w:pStyle w:val="TableCell"/>
              <w:keepNext w:val="0"/>
              <w:keepLines w:val="0"/>
              <w:widowControl w:val="0"/>
              <w:jc w:val="left"/>
              <w:rPr>
                <w:color w:val="0D0D0D" w:themeColor="text1" w:themeTint="F2"/>
                <w:spacing w:val="-2"/>
                <w:sz w:val="18"/>
              </w:rPr>
            </w:pPr>
          </w:p>
        </w:tc>
      </w:tr>
      <w:tr w:rsidRPr="00294763" w:rsidR="00BA585D" w:rsidTr="00373C7D" w14:paraId="14B9E7F0" w14:textId="77777777">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3A948D6A" w14:textId="77777777">
            <w:pPr>
              <w:widowControl w:val="0"/>
              <w:spacing w:line="240" w:lineRule="auto"/>
              <w:ind w:left="170"/>
              <w:jc w:val="left"/>
              <w:rPr>
                <w:rFonts w:ascii="Arial Narrow" w:hAnsi="Arial Narrow"/>
                <w:color w:val="0D0D0D" w:themeColor="text1" w:themeTint="F2"/>
                <w:spacing w:val="-2"/>
                <w:sz w:val="18"/>
                <w:szCs w:val="18"/>
              </w:rPr>
            </w:pPr>
            <w:r w:rsidRPr="00294763">
              <w:rPr>
                <w:rFonts w:ascii="Arial Narrow" w:hAnsi="Arial Narrow"/>
                <w:color w:val="0D0D0D" w:themeColor="text1" w:themeTint="F2"/>
                <w:spacing w:val="-2"/>
                <w:sz w:val="18"/>
                <w:szCs w:val="18"/>
              </w:rPr>
              <w:t>Responsibilities for quality assurance and validation</w:t>
            </w:r>
          </w:p>
        </w:tc>
        <w:tc>
          <w:tcPr>
            <w:tcW w:w="1417" w:type="dxa"/>
          </w:tcPr>
          <w:p w:rsidRPr="00294763" w:rsidR="00BA585D" w:rsidP="00373C7D" w:rsidRDefault="00BA585D" w14:paraId="700200BC"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17E31559" w14:textId="77777777">
            <w:pPr>
              <w:pStyle w:val="TableCell"/>
              <w:keepNext w:val="0"/>
              <w:keepLines w:val="0"/>
              <w:widowControl w:val="0"/>
              <w:jc w:val="left"/>
              <w:rPr>
                <w:color w:val="0D0D0D" w:themeColor="text1" w:themeTint="F2"/>
                <w:spacing w:val="-2"/>
                <w:sz w:val="18"/>
                <w:u w:val="single"/>
              </w:rPr>
            </w:pPr>
            <w:r w:rsidRPr="00294763">
              <w:rPr>
                <w:color w:val="0D0D0D" w:themeColor="text1" w:themeTint="F2"/>
                <w:spacing w:val="-2"/>
                <w:sz w:val="18"/>
              </w:rPr>
              <w:t xml:space="preserve">Reach a consensus and agreement on the sharing of responsibilities </w:t>
            </w:r>
          </w:p>
        </w:tc>
        <w:tc>
          <w:tcPr>
            <w:tcW w:w="3686" w:type="dxa"/>
          </w:tcPr>
          <w:p w:rsidRPr="00294763" w:rsidR="00BA585D" w:rsidP="00373C7D" w:rsidRDefault="00BA585D" w14:paraId="7DB6C448"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i/>
                <w:color w:val="0D0D0D" w:themeColor="text1" w:themeTint="F2"/>
                <w:spacing w:val="-2"/>
                <w:sz w:val="18"/>
              </w:rPr>
            </w:pPr>
            <w:r w:rsidRPr="00294763">
              <w:rPr>
                <w:color w:val="0D0D0D" w:themeColor="text1" w:themeTint="F2"/>
                <w:spacing w:val="-2"/>
                <w:sz w:val="18"/>
              </w:rPr>
              <w:t xml:space="preserve">Sharing of responsibilities for data collection from national sources, and for data quality assurance and validation (subsidiarity principle). </w:t>
            </w:r>
            <w:r w:rsidRPr="00B751D9">
              <w:rPr>
                <w:i/>
                <w:color w:val="0D0D0D" w:themeColor="text1" w:themeTint="F2"/>
                <w:spacing w:val="-2"/>
                <w:sz w:val="18"/>
              </w:rPr>
              <w:t>t</w:t>
            </w:r>
            <w:r w:rsidRPr="00294763">
              <w:rPr>
                <w:i/>
                <w:color w:val="0D0D0D" w:themeColor="text1" w:themeTint="F2"/>
                <w:spacing w:val="-2"/>
                <w:sz w:val="18"/>
              </w:rPr>
              <w:t>o be discussed; arrangements will differ depending on the account considered</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6794ECE6" w14:textId="77777777">
            <w:pPr>
              <w:pStyle w:val="TableCell"/>
              <w:keepNext w:val="0"/>
              <w:keepLines w:val="0"/>
              <w:widowControl w:val="0"/>
              <w:jc w:val="left"/>
              <w:rPr>
                <w:color w:val="0D0D0D" w:themeColor="text1" w:themeTint="F2"/>
                <w:spacing w:val="-2"/>
                <w:sz w:val="18"/>
              </w:rPr>
            </w:pPr>
            <w:r>
              <w:rPr>
                <w:color w:val="0D0D0D" w:themeColor="text1" w:themeTint="F2"/>
                <w:spacing w:val="-2"/>
                <w:sz w:val="18"/>
              </w:rPr>
              <w:t>Ongoing</w:t>
            </w:r>
          </w:p>
        </w:tc>
        <w:tc>
          <w:tcPr>
            <w:tcW w:w="2891" w:type="dxa"/>
          </w:tcPr>
          <w:p w:rsidRPr="00294763" w:rsidR="00BA585D" w:rsidP="00373C7D" w:rsidRDefault="00BA585D" w14:paraId="57511F60"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5E2D8E53" w14:textId="77777777">
            <w:pPr>
              <w:pStyle w:val="TableCell"/>
              <w:keepNext w:val="0"/>
              <w:keepLines w:val="0"/>
              <w:widowControl w:val="0"/>
              <w:jc w:val="left"/>
              <w:rPr>
                <w:color w:val="0D0D0D" w:themeColor="text1" w:themeTint="F2"/>
                <w:spacing w:val="-2"/>
                <w:sz w:val="18"/>
              </w:rPr>
            </w:pPr>
          </w:p>
        </w:tc>
      </w:tr>
      <w:tr w:rsidRPr="00294763" w:rsidR="00BA585D" w:rsidTr="00373C7D" w14:paraId="03B419E4" w14:textId="77777777">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3B03973D" w14:textId="77777777">
            <w:pPr>
              <w:widowControl w:val="0"/>
              <w:spacing w:line="240" w:lineRule="auto"/>
              <w:ind w:left="170"/>
              <w:jc w:val="left"/>
              <w:rPr>
                <w:rFonts w:ascii="Arial Narrow" w:hAnsi="Arial Narrow"/>
                <w:color w:val="0D0D0D" w:themeColor="text1" w:themeTint="F2"/>
                <w:spacing w:val="-2"/>
                <w:sz w:val="18"/>
                <w:szCs w:val="18"/>
              </w:rPr>
            </w:pPr>
            <w:r w:rsidRPr="00294763">
              <w:rPr>
                <w:rFonts w:ascii="Arial Narrow" w:hAnsi="Arial Narrow"/>
                <w:color w:val="0D0D0D" w:themeColor="text1" w:themeTint="F2"/>
                <w:spacing w:val="-2"/>
                <w:sz w:val="18"/>
                <w:szCs w:val="18"/>
              </w:rPr>
              <w:t>Dissemination of priority accounts</w:t>
            </w:r>
          </w:p>
        </w:tc>
        <w:tc>
          <w:tcPr>
            <w:tcW w:w="1417" w:type="dxa"/>
          </w:tcPr>
          <w:p w:rsidRPr="00294763" w:rsidR="00BA585D" w:rsidP="00373C7D" w:rsidRDefault="00BA585D" w14:paraId="13CDC9B8"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r w:rsidRPr="00294763">
              <w:rPr>
                <w:rFonts w:ascii="Arial Narrow" w:hAnsi="Arial Narrow"/>
                <w:color w:val="0D0D0D" w:themeColor="text1" w:themeTint="F2"/>
                <w:spacing w:val="-2"/>
                <w:sz w:val="18"/>
                <w:szCs w:val="18"/>
              </w:rPr>
              <w:t>UNSD (all involved)</w:t>
            </w: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58C0410E"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Establish a SEEA dissemination portal</w:t>
            </w:r>
          </w:p>
        </w:tc>
        <w:tc>
          <w:tcPr>
            <w:tcW w:w="3686" w:type="dxa"/>
          </w:tcPr>
          <w:p w:rsidRPr="00294763" w:rsidR="00BA585D" w:rsidP="00373C7D" w:rsidRDefault="00BA585D" w14:paraId="628C8C2D"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sidRPr="00294763">
              <w:rPr>
                <w:color w:val="0D0D0D" w:themeColor="text1" w:themeTint="F2"/>
                <w:spacing w:val="-2"/>
                <w:sz w:val="18"/>
              </w:rPr>
              <w:t>Establish a portal providing access to SEEA databases and links to accounts hosted by lead (and partner) agencies.</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44EA8F3C" w14:textId="77777777">
            <w:pPr>
              <w:pStyle w:val="TableCell"/>
              <w:keepNext w:val="0"/>
              <w:keepLines w:val="0"/>
              <w:widowControl w:val="0"/>
              <w:jc w:val="left"/>
              <w:rPr>
                <w:color w:val="0D0D0D" w:themeColor="text1" w:themeTint="F2"/>
                <w:spacing w:val="-2"/>
                <w:sz w:val="18"/>
              </w:rPr>
            </w:pPr>
            <w:r w:rsidRPr="2813F444">
              <w:rPr>
                <w:color w:val="0D0D0D" w:themeColor="text1" w:themeTint="F2"/>
                <w:spacing w:val="-2"/>
                <w:sz w:val="18"/>
              </w:rPr>
              <w:t>202</w:t>
            </w:r>
            <w:r>
              <w:rPr>
                <w:color w:val="0D0D0D" w:themeColor="text1" w:themeTint="F2"/>
                <w:spacing w:val="-2"/>
                <w:sz w:val="18"/>
              </w:rPr>
              <w:t>3</w:t>
            </w:r>
            <w:r w:rsidRPr="2813F444">
              <w:rPr>
                <w:color w:val="0D0D0D" w:themeColor="text1" w:themeTint="F2"/>
                <w:spacing w:val="-2"/>
                <w:sz w:val="18"/>
              </w:rPr>
              <w:t>-</w:t>
            </w:r>
            <w:r>
              <w:rPr>
                <w:color w:val="0D0D0D" w:themeColor="text1" w:themeTint="F2"/>
                <w:spacing w:val="-2"/>
                <w:sz w:val="18"/>
              </w:rPr>
              <w:t>4</w:t>
            </w:r>
          </w:p>
        </w:tc>
        <w:tc>
          <w:tcPr>
            <w:tcW w:w="2891" w:type="dxa"/>
          </w:tcPr>
          <w:p w:rsidRPr="00294763" w:rsidR="00BA585D" w:rsidP="00373C7D" w:rsidRDefault="00BA585D" w14:paraId="7585D86B"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2ACC8918" w14:textId="77777777">
            <w:pPr>
              <w:pStyle w:val="TableCell"/>
              <w:keepNext w:val="0"/>
              <w:keepLines w:val="0"/>
              <w:widowControl w:val="0"/>
              <w:jc w:val="left"/>
              <w:rPr>
                <w:color w:val="0D0D0D" w:themeColor="text1" w:themeTint="F2"/>
                <w:spacing w:val="-2"/>
                <w:sz w:val="18"/>
              </w:rPr>
            </w:pPr>
          </w:p>
        </w:tc>
      </w:tr>
      <w:tr w:rsidRPr="00294763" w:rsidR="00BA585D" w:rsidTr="00373C7D" w14:paraId="4345E56B" w14:textId="77777777">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2F51EDD6" w14:textId="77777777">
            <w:pPr>
              <w:widowControl w:val="0"/>
              <w:spacing w:line="240" w:lineRule="auto"/>
              <w:ind w:left="170"/>
              <w:jc w:val="left"/>
              <w:rPr>
                <w:rFonts w:ascii="Arial Narrow" w:hAnsi="Arial Narrow"/>
                <w:color w:val="0D0D0D" w:themeColor="text1" w:themeTint="F2"/>
                <w:spacing w:val="-2"/>
                <w:sz w:val="18"/>
                <w:szCs w:val="18"/>
              </w:rPr>
            </w:pPr>
            <w:r w:rsidRPr="00294763">
              <w:rPr>
                <w:rFonts w:ascii="Arial Narrow" w:hAnsi="Arial Narrow"/>
                <w:color w:val="0D0D0D" w:themeColor="text1" w:themeTint="F2"/>
                <w:spacing w:val="-2"/>
                <w:sz w:val="18"/>
                <w:szCs w:val="18"/>
              </w:rPr>
              <w:t>Data ownership and copyright</w:t>
            </w:r>
          </w:p>
        </w:tc>
        <w:tc>
          <w:tcPr>
            <w:tcW w:w="1417" w:type="dxa"/>
          </w:tcPr>
          <w:p w:rsidRPr="00294763" w:rsidR="00BA585D" w:rsidP="00373C7D" w:rsidRDefault="00BA585D" w14:paraId="751DF272" w14:textId="77777777">
            <w:pPr>
              <w:widowControl w:val="0"/>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D0D0D" w:themeColor="text1" w:themeTint="F2"/>
                <w:spacing w:val="-2"/>
                <w:sz w:val="18"/>
                <w:szCs w:val="18"/>
              </w:rPr>
            </w:pPr>
          </w:p>
        </w:tc>
        <w:tc>
          <w:tcPr>
            <w:cnfStyle w:val="000010000000" w:firstRow="0" w:lastRow="0" w:firstColumn="0" w:lastColumn="0" w:oddVBand="1" w:evenVBand="0" w:oddHBand="0" w:evenHBand="0" w:firstRowFirstColumn="0" w:firstRowLastColumn="0" w:lastRowFirstColumn="0" w:lastRowLastColumn="0"/>
            <w:tcW w:w="2496" w:type="dxa"/>
          </w:tcPr>
          <w:p w:rsidRPr="00294763" w:rsidR="00BA585D" w:rsidP="00373C7D" w:rsidRDefault="00BA585D" w14:paraId="18EAF91A" w14:textId="5AF946C3">
            <w:pPr>
              <w:pStyle w:val="TableCell"/>
              <w:keepNext w:val="0"/>
              <w:keepLines w:val="0"/>
              <w:widowControl w:val="0"/>
              <w:jc w:val="left"/>
              <w:rPr>
                <w:color w:val="0D0D0D" w:themeColor="text1" w:themeTint="F2"/>
                <w:spacing w:val="-2"/>
                <w:sz w:val="18"/>
                <w:u w:val="single"/>
              </w:rPr>
            </w:pPr>
          </w:p>
        </w:tc>
        <w:tc>
          <w:tcPr>
            <w:tcW w:w="3686" w:type="dxa"/>
          </w:tcPr>
          <w:p w:rsidRPr="00294763" w:rsidR="00BA585D" w:rsidP="00373C7D" w:rsidRDefault="00BA585D" w14:paraId="09630D53" w14:textId="77777777">
            <w:pPr>
              <w:pStyle w:val="TableCell"/>
              <w:keepNext w:val="0"/>
              <w:keepLines w:val="0"/>
              <w:widowControl w:val="0"/>
              <w:spacing w:before="0" w:after="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r>
              <w:rPr>
                <w:i/>
                <w:color w:val="0D0D0D" w:themeColor="text1" w:themeTint="F2"/>
                <w:spacing w:val="-2"/>
                <w:sz w:val="18"/>
              </w:rPr>
              <w:t>For discussion</w:t>
            </w:r>
          </w:p>
        </w:tc>
        <w:tc>
          <w:tcPr>
            <w:cnfStyle w:val="000010000000" w:firstRow="0" w:lastRow="0" w:firstColumn="0" w:lastColumn="0" w:oddVBand="1" w:evenVBand="0" w:oddHBand="0" w:evenHBand="0" w:firstRowFirstColumn="0" w:firstRowLastColumn="0" w:lastRowFirstColumn="0" w:lastRowLastColumn="0"/>
            <w:tcW w:w="1134" w:type="dxa"/>
          </w:tcPr>
          <w:p w:rsidRPr="00294763" w:rsidR="00BA585D" w:rsidP="00373C7D" w:rsidRDefault="00BA585D" w14:paraId="3802E971" w14:textId="77777777">
            <w:pPr>
              <w:pStyle w:val="TableCell"/>
              <w:keepNext w:val="0"/>
              <w:keepLines w:val="0"/>
              <w:widowControl w:val="0"/>
              <w:jc w:val="left"/>
              <w:rPr>
                <w:color w:val="0D0D0D" w:themeColor="text1" w:themeTint="F2"/>
                <w:spacing w:val="-2"/>
                <w:sz w:val="18"/>
              </w:rPr>
            </w:pPr>
            <w:r w:rsidRPr="00294763">
              <w:rPr>
                <w:color w:val="0D0D0D" w:themeColor="text1" w:themeTint="F2"/>
                <w:spacing w:val="-2"/>
                <w:sz w:val="18"/>
              </w:rPr>
              <w:t>TBD</w:t>
            </w:r>
          </w:p>
        </w:tc>
        <w:tc>
          <w:tcPr>
            <w:tcW w:w="2891" w:type="dxa"/>
          </w:tcPr>
          <w:p w:rsidRPr="00294763" w:rsidR="00BA585D" w:rsidP="00373C7D" w:rsidRDefault="00BA585D" w14:paraId="62C2680B" w14:textId="77777777">
            <w:pPr>
              <w:pStyle w:val="TableCell"/>
              <w:keepNext w:val="0"/>
              <w:keepLines w:val="0"/>
              <w:widowControl w:val="0"/>
              <w:jc w:val="left"/>
              <w:cnfStyle w:val="000000000000" w:firstRow="0" w:lastRow="0" w:firstColumn="0" w:lastColumn="0" w:oddVBand="0" w:evenVBand="0" w:oddHBand="0" w:evenHBand="0" w:firstRowFirstColumn="0" w:firstRowLastColumn="0" w:lastRowFirstColumn="0" w:lastRowLastColumn="0"/>
              <w:rPr>
                <w:color w:val="0D0D0D" w:themeColor="text1" w:themeTint="F2"/>
                <w:spacing w:val="-2"/>
                <w:sz w:val="18"/>
              </w:rPr>
            </w:pPr>
          </w:p>
        </w:tc>
        <w:tc>
          <w:tcPr>
            <w:cnfStyle w:val="000010000000" w:firstRow="0" w:lastRow="0" w:firstColumn="0" w:lastColumn="0" w:oddVBand="1" w:evenVBand="0" w:oddHBand="0" w:evenHBand="0" w:firstRowFirstColumn="0" w:firstRowLastColumn="0" w:lastRowFirstColumn="0" w:lastRowLastColumn="0"/>
            <w:tcW w:w="1757" w:type="dxa"/>
          </w:tcPr>
          <w:p w:rsidRPr="00294763" w:rsidR="00BA585D" w:rsidP="00373C7D" w:rsidRDefault="00BA585D" w14:paraId="571E5F96" w14:textId="77777777">
            <w:pPr>
              <w:pStyle w:val="TableCell"/>
              <w:keepNext w:val="0"/>
              <w:keepLines w:val="0"/>
              <w:widowControl w:val="0"/>
              <w:jc w:val="left"/>
              <w:rPr>
                <w:color w:val="0D0D0D" w:themeColor="text1" w:themeTint="F2"/>
                <w:spacing w:val="-2"/>
                <w:sz w:val="18"/>
              </w:rPr>
            </w:pPr>
          </w:p>
        </w:tc>
      </w:tr>
    </w:tbl>
    <w:p w:rsidRPr="003F552A" w:rsidR="00BF1B84" w:rsidP="00BF1B84" w:rsidRDefault="00BF1B84" w14:paraId="17BA09A1" w14:textId="77777777">
      <w:pPr>
        <w:spacing w:after="0"/>
        <w:sectPr w:rsidRPr="003F552A" w:rsidR="00BF1B84" w:rsidSect="00B9044E">
          <w:pgSz w:w="16838" w:h="11906" w:orient="landscape"/>
          <w:pgMar w:top="1440" w:right="1440" w:bottom="1440" w:left="1440" w:header="708" w:footer="708" w:gutter="0"/>
          <w:cols w:space="720"/>
          <w:docGrid w:linePitch="299"/>
        </w:sectPr>
      </w:pPr>
    </w:p>
    <w:p w:rsidRPr="00B64540" w:rsidR="00BF1B84" w:rsidP="00504EB6" w:rsidRDefault="00504EB6" w14:paraId="17BA09A2" w14:textId="2654673D">
      <w:pPr>
        <w:pStyle w:val="Heading1"/>
        <w:numPr>
          <w:ilvl w:val="0"/>
          <w:numId w:val="0"/>
        </w:numPr>
        <w:rPr>
          <w:szCs w:val="22"/>
        </w:rPr>
      </w:pPr>
      <w:r>
        <w:lastRenderedPageBreak/>
        <w:t>Area C Status of Accounts (2023 version)</w:t>
      </w:r>
    </w:p>
    <w:p w:rsidRPr="00B64540" w:rsidR="00BF1B84" w:rsidP="007C7CA2" w:rsidRDefault="00BF1B84" w14:paraId="17BA09A3" w14:textId="77777777">
      <w:pPr>
        <w:pStyle w:val="Default"/>
        <w:keepNext/>
        <w:spacing w:before="120" w:after="120"/>
        <w:rPr>
          <w:b/>
          <w:sz w:val="22"/>
          <w:szCs w:val="22"/>
        </w:rPr>
      </w:pPr>
      <w:r w:rsidRPr="00B64540">
        <w:rPr>
          <w:b/>
          <w:sz w:val="22"/>
          <w:szCs w:val="22"/>
        </w:rPr>
        <w:t>Table 1 Priority Accounts</w:t>
      </w:r>
    </w:p>
    <w:tbl>
      <w:tblPr>
        <w:tblStyle w:val="OECD"/>
        <w:tblW w:w="5023" w:type="pct"/>
        <w:jc w:val="center"/>
        <w:tblLayout w:type="fixed"/>
        <w:tblCellMar>
          <w:left w:w="28" w:type="dxa"/>
          <w:right w:w="28" w:type="dxa"/>
        </w:tblCellMar>
        <w:tblLook w:val="0220" w:firstRow="1" w:lastRow="0" w:firstColumn="0" w:lastColumn="0" w:noHBand="1" w:noVBand="0"/>
      </w:tblPr>
      <w:tblGrid>
        <w:gridCol w:w="1456"/>
        <w:gridCol w:w="872"/>
        <w:gridCol w:w="1245"/>
        <w:gridCol w:w="1304"/>
        <w:gridCol w:w="2978"/>
        <w:gridCol w:w="1596"/>
        <w:gridCol w:w="2720"/>
        <w:gridCol w:w="1851"/>
      </w:tblGrid>
      <w:tr w:rsidRPr="003F552A" w:rsidR="006A0CFE" w:rsidTr="63758C50" w14:paraId="17BA09AC"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0010000000" w:firstRow="0" w:lastRow="0" w:firstColumn="0" w:lastColumn="0" w:oddVBand="1" w:evenVBand="0" w:oddHBand="0" w:evenHBand="0" w:firstRowFirstColumn="0" w:firstRowLastColumn="0" w:lastRowFirstColumn="0" w:lastRowLastColumn="0"/>
            <w:tcW w:w="519" w:type="pct"/>
            <w:tcBorders>
              <w:bottom w:val="single" w:color="auto" w:sz="12" w:space="0"/>
            </w:tcBorders>
            <w:vAlign w:val="center"/>
            <w:hideMark/>
          </w:tcPr>
          <w:p w:rsidRPr="003F552A" w:rsidR="00BF1B84" w:rsidP="007C7CA2" w:rsidRDefault="00BF1B84" w14:paraId="17BA09A4" w14:textId="77777777">
            <w:pPr>
              <w:pStyle w:val="TableColumn"/>
              <w:keepNext w:val="0"/>
              <w:jc w:val="left"/>
              <w:rPr>
                <w:b/>
                <w:sz w:val="16"/>
                <w:lang w:val="en-GB"/>
              </w:rPr>
            </w:pPr>
            <w:r w:rsidRPr="003F552A">
              <w:rPr>
                <w:b/>
                <w:sz w:val="16"/>
                <w:lang w:val="en-GB"/>
              </w:rPr>
              <w:t>Accounts</w:t>
            </w:r>
          </w:p>
        </w:tc>
        <w:tc>
          <w:tcPr>
            <w:tcW w:w="311" w:type="pct"/>
            <w:tcBorders>
              <w:bottom w:val="single" w:color="auto" w:sz="12" w:space="0"/>
            </w:tcBorders>
            <w:vAlign w:val="center"/>
            <w:hideMark/>
          </w:tcPr>
          <w:p w:rsidRPr="00766877" w:rsidR="00BF1B84" w:rsidP="007C7CA2" w:rsidRDefault="00BF1B84" w14:paraId="17BA09A5" w14:textId="77777777">
            <w:pPr>
              <w:pStyle w:val="TableColumn"/>
              <w:keepNext w:val="0"/>
              <w:jc w:val="left"/>
              <w:cnfStyle w:val="100000000000" w:firstRow="1" w:lastRow="0" w:firstColumn="0" w:lastColumn="0" w:oddVBand="0" w:evenVBand="0" w:oddHBand="0" w:evenHBand="0" w:firstRowFirstColumn="0" w:firstRowLastColumn="0" w:lastRowFirstColumn="0" w:lastRowLastColumn="0"/>
              <w:rPr>
                <w:b/>
                <w:sz w:val="16"/>
                <w:lang w:val="en-GB"/>
              </w:rPr>
            </w:pPr>
            <w:r w:rsidRPr="001A0B9D">
              <w:rPr>
                <w:b/>
                <w:sz w:val="16"/>
                <w:lang w:val="en-GB"/>
              </w:rPr>
              <w:t>Agencies involved</w:t>
            </w:r>
          </w:p>
        </w:tc>
        <w:tc>
          <w:tcPr>
            <w:cnfStyle w:val="000010000000" w:firstRow="0" w:lastRow="0" w:firstColumn="0" w:lastColumn="0" w:oddVBand="1" w:evenVBand="0" w:oddHBand="0" w:evenHBand="0" w:firstRowFirstColumn="0" w:firstRowLastColumn="0" w:lastRowFirstColumn="0" w:lastRowLastColumn="0"/>
            <w:tcW w:w="444" w:type="pct"/>
            <w:tcBorders>
              <w:bottom w:val="single" w:color="auto" w:sz="12" w:space="0"/>
            </w:tcBorders>
            <w:vAlign w:val="center"/>
            <w:hideMark/>
          </w:tcPr>
          <w:p w:rsidRPr="00766877" w:rsidR="00BF1B84" w:rsidP="007C7CA2" w:rsidRDefault="00BF1B84" w14:paraId="17BA09A6" w14:textId="77777777">
            <w:pPr>
              <w:pStyle w:val="TableColumn"/>
              <w:keepNext w:val="0"/>
              <w:jc w:val="left"/>
              <w:rPr>
                <w:b/>
                <w:sz w:val="16"/>
                <w:lang w:val="en-GB"/>
              </w:rPr>
            </w:pPr>
            <w:r w:rsidRPr="001A0B9D">
              <w:rPr>
                <w:b/>
                <w:sz w:val="16"/>
                <w:lang w:val="en-GB"/>
              </w:rPr>
              <w:t>Country coverage</w:t>
            </w:r>
          </w:p>
        </w:tc>
        <w:tc>
          <w:tcPr>
            <w:tcW w:w="465" w:type="pct"/>
            <w:tcBorders>
              <w:bottom w:val="single" w:color="auto" w:sz="12" w:space="0"/>
            </w:tcBorders>
            <w:vAlign w:val="center"/>
            <w:hideMark/>
          </w:tcPr>
          <w:p w:rsidRPr="00766877" w:rsidR="00BF1B84" w:rsidP="007C7CA2" w:rsidRDefault="00BF1B84" w14:paraId="17BA09A7" w14:textId="77777777">
            <w:pPr>
              <w:pStyle w:val="TableColumn"/>
              <w:keepNext w:val="0"/>
              <w:jc w:val="left"/>
              <w:cnfStyle w:val="100000000000" w:firstRow="1" w:lastRow="0" w:firstColumn="0" w:lastColumn="0" w:oddVBand="0" w:evenVBand="0" w:oddHBand="0" w:evenHBand="0" w:firstRowFirstColumn="0" w:firstRowLastColumn="0" w:lastRowFirstColumn="0" w:lastRowLastColumn="0"/>
              <w:rPr>
                <w:b/>
                <w:sz w:val="16"/>
                <w:lang w:val="en-GB"/>
              </w:rPr>
            </w:pPr>
            <w:r w:rsidRPr="001A0B9D">
              <w:rPr>
                <w:b/>
                <w:sz w:val="16"/>
                <w:lang w:val="en-GB"/>
              </w:rPr>
              <w:t>Time coverage</w:t>
            </w:r>
          </w:p>
        </w:tc>
        <w:tc>
          <w:tcPr>
            <w:cnfStyle w:val="000010000000" w:firstRow="0" w:lastRow="0" w:firstColumn="0" w:lastColumn="0" w:oddVBand="1" w:evenVBand="0" w:oddHBand="0" w:evenHBand="0" w:firstRowFirstColumn="0" w:firstRowLastColumn="0" w:lastRowFirstColumn="0" w:lastRowLastColumn="0"/>
            <w:tcW w:w="1062" w:type="pct"/>
            <w:tcBorders>
              <w:bottom w:val="single" w:color="auto" w:sz="12" w:space="0"/>
            </w:tcBorders>
            <w:vAlign w:val="center"/>
            <w:hideMark/>
          </w:tcPr>
          <w:p w:rsidRPr="00766877" w:rsidR="00BF1B84" w:rsidP="007C7CA2" w:rsidRDefault="00BF1B84" w14:paraId="17BA09A8" w14:textId="77777777">
            <w:pPr>
              <w:pStyle w:val="TableColumn"/>
              <w:keepNext w:val="0"/>
              <w:jc w:val="left"/>
              <w:rPr>
                <w:b/>
                <w:sz w:val="16"/>
                <w:lang w:val="en-GB"/>
              </w:rPr>
            </w:pPr>
            <w:r w:rsidRPr="001A0B9D">
              <w:rPr>
                <w:b/>
                <w:sz w:val="16"/>
                <w:lang w:val="en-GB"/>
              </w:rPr>
              <w:t>Classifications used</w:t>
            </w:r>
          </w:p>
        </w:tc>
        <w:tc>
          <w:tcPr>
            <w:tcW w:w="569" w:type="pct"/>
            <w:tcBorders>
              <w:bottom w:val="single" w:color="auto" w:sz="12" w:space="0"/>
            </w:tcBorders>
            <w:vAlign w:val="center"/>
            <w:hideMark/>
          </w:tcPr>
          <w:p w:rsidRPr="00766877" w:rsidR="00BF1B84" w:rsidP="007C7CA2" w:rsidRDefault="00BF1B84" w14:paraId="17BA09A9" w14:textId="77777777">
            <w:pPr>
              <w:pStyle w:val="TableColumn"/>
              <w:keepNext w:val="0"/>
              <w:jc w:val="left"/>
              <w:cnfStyle w:val="100000000000" w:firstRow="1" w:lastRow="0" w:firstColumn="0" w:lastColumn="0" w:oddVBand="0" w:evenVBand="0" w:oddHBand="0" w:evenHBand="0" w:firstRowFirstColumn="0" w:firstRowLastColumn="0" w:lastRowFirstColumn="0" w:lastRowLastColumn="0"/>
              <w:rPr>
                <w:b/>
                <w:sz w:val="16"/>
                <w:lang w:val="en-GB"/>
              </w:rPr>
            </w:pPr>
            <w:r w:rsidRPr="001A0B9D">
              <w:rPr>
                <w:b/>
                <w:sz w:val="16"/>
                <w:lang w:val="en-GB"/>
              </w:rPr>
              <w:t>Data sources</w:t>
            </w:r>
          </w:p>
        </w:tc>
        <w:tc>
          <w:tcPr>
            <w:cnfStyle w:val="000010000000" w:firstRow="0" w:lastRow="0" w:firstColumn="0" w:lastColumn="0" w:oddVBand="1" w:evenVBand="0" w:oddHBand="0" w:evenHBand="0" w:firstRowFirstColumn="0" w:firstRowLastColumn="0" w:lastRowFirstColumn="0" w:lastRowLastColumn="0"/>
            <w:tcW w:w="970" w:type="pct"/>
            <w:tcBorders>
              <w:bottom w:val="single" w:color="auto" w:sz="12" w:space="0"/>
            </w:tcBorders>
            <w:vAlign w:val="center"/>
            <w:hideMark/>
          </w:tcPr>
          <w:p w:rsidRPr="007C7CA2" w:rsidR="00BF1B84" w:rsidP="007C7CA2" w:rsidRDefault="00BF1B84" w14:paraId="17BA09AA" w14:textId="77777777">
            <w:pPr>
              <w:pStyle w:val="TableColumn"/>
              <w:keepNext w:val="0"/>
              <w:jc w:val="left"/>
              <w:rPr>
                <w:b/>
                <w:sz w:val="16"/>
                <w:szCs w:val="16"/>
                <w:lang w:val="en-GB"/>
              </w:rPr>
            </w:pPr>
            <w:r w:rsidRPr="007C7CA2">
              <w:rPr>
                <w:b/>
                <w:sz w:val="16"/>
                <w:szCs w:val="16"/>
                <w:lang w:val="en-GB"/>
              </w:rPr>
              <w:t>Available databases/datasets</w:t>
            </w:r>
          </w:p>
        </w:tc>
        <w:tc>
          <w:tcPr>
            <w:tcW w:w="660" w:type="pct"/>
            <w:tcBorders>
              <w:bottom w:val="single" w:color="auto" w:sz="12" w:space="0"/>
            </w:tcBorders>
            <w:vAlign w:val="center"/>
            <w:hideMark/>
          </w:tcPr>
          <w:p w:rsidRPr="00766877" w:rsidR="00BF1B84" w:rsidP="007C7CA2" w:rsidRDefault="00BF1B84" w14:paraId="17BA09AB" w14:textId="77777777">
            <w:pPr>
              <w:pStyle w:val="TableColumn"/>
              <w:keepNext w:val="0"/>
              <w:jc w:val="left"/>
              <w:cnfStyle w:val="100000000000" w:firstRow="1" w:lastRow="0" w:firstColumn="0" w:lastColumn="0" w:oddVBand="0" w:evenVBand="0" w:oddHBand="0" w:evenHBand="0" w:firstRowFirstColumn="0" w:firstRowLastColumn="0" w:lastRowFirstColumn="0" w:lastRowLastColumn="0"/>
              <w:rPr>
                <w:b/>
                <w:sz w:val="16"/>
                <w:lang w:val="en-GB"/>
              </w:rPr>
            </w:pPr>
            <w:r w:rsidRPr="001A0B9D">
              <w:rPr>
                <w:b/>
                <w:sz w:val="16"/>
                <w:lang w:val="en-GB"/>
              </w:rPr>
              <w:t>Status of methodology (compilation, estimation)</w:t>
            </w:r>
          </w:p>
        </w:tc>
      </w:tr>
      <w:tr w:rsidRPr="003F552A" w:rsidR="006A0CFE" w:rsidTr="63758C50" w14:paraId="17BA09BE" w14:textId="77777777">
        <w:trPr>
          <w:jc w:val="center"/>
        </w:trPr>
        <w:tc>
          <w:tcPr>
            <w:cnfStyle w:val="000010000000" w:firstRow="0" w:lastRow="0" w:firstColumn="0" w:lastColumn="0" w:oddVBand="1" w:evenVBand="0" w:oddHBand="0" w:evenHBand="0" w:firstRowFirstColumn="0" w:firstRowLastColumn="0" w:lastRowFirstColumn="0" w:lastRowLastColumn="0"/>
            <w:tcW w:w="519" w:type="pct"/>
            <w:tcBorders>
              <w:top w:val="single" w:color="auto" w:sz="12" w:space="0"/>
              <w:bottom w:val="single" w:color="auto" w:sz="4" w:space="0"/>
            </w:tcBorders>
            <w:vAlign w:val="center"/>
            <w:hideMark/>
          </w:tcPr>
          <w:p w:rsidRPr="003F552A" w:rsidR="00BF1B84" w:rsidP="007C7CA2" w:rsidRDefault="00BF1B84" w14:paraId="17BA09AD" w14:textId="77777777">
            <w:pPr>
              <w:pStyle w:val="TableRow"/>
              <w:keepNext w:val="0"/>
              <w:rPr>
                <w:b/>
                <w:sz w:val="16"/>
                <w:lang w:val="en-GB"/>
              </w:rPr>
            </w:pPr>
            <w:r w:rsidRPr="003F552A">
              <w:rPr>
                <w:b/>
                <w:sz w:val="16"/>
                <w:lang w:val="en-GB"/>
              </w:rPr>
              <w:t>Air emissions</w:t>
            </w:r>
          </w:p>
        </w:tc>
        <w:tc>
          <w:tcPr>
            <w:tcW w:w="311" w:type="pct"/>
            <w:tcBorders>
              <w:top w:val="single" w:color="auto" w:sz="12" w:space="0"/>
              <w:left w:val="nil"/>
              <w:bottom w:val="single" w:color="auto" w:sz="4" w:space="0"/>
              <w:right w:val="nil"/>
            </w:tcBorders>
            <w:vAlign w:val="center"/>
            <w:hideMark/>
          </w:tcPr>
          <w:p w:rsidRPr="00766877" w:rsidR="00BF1B84" w:rsidP="007C7CA2" w:rsidRDefault="00BF1B84" w14:paraId="17BA09AE" w14:textId="7C39ACA0">
            <w:pPr>
              <w:pStyle w:val="TableCell"/>
              <w:keepNext w:val="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2BE78345">
              <w:rPr>
                <w:sz w:val="16"/>
                <w:szCs w:val="16"/>
                <w:lang w:val="en-GB"/>
              </w:rPr>
              <w:t>Eurostat,</w:t>
            </w:r>
            <w:r w:rsidRPr="2BE78345" w:rsidR="6C24DF1E">
              <w:rPr>
                <w:sz w:val="16"/>
                <w:szCs w:val="16"/>
                <w:lang w:val="en-GB"/>
              </w:rPr>
              <w:t xml:space="preserve"> </w:t>
            </w:r>
            <w:r w:rsidRPr="2BE78345">
              <w:rPr>
                <w:sz w:val="16"/>
                <w:szCs w:val="16"/>
                <w:lang w:val="en-GB"/>
              </w:rPr>
              <w:t>OECD</w:t>
            </w:r>
          </w:p>
        </w:tc>
        <w:tc>
          <w:tcPr>
            <w:cnfStyle w:val="000010000000" w:firstRow="0" w:lastRow="0" w:firstColumn="0" w:lastColumn="0" w:oddVBand="1" w:evenVBand="0" w:oddHBand="0" w:evenHBand="0" w:firstRowFirstColumn="0" w:firstRowLastColumn="0" w:lastRowFirstColumn="0" w:lastRowLastColumn="0"/>
            <w:tcW w:w="444" w:type="pct"/>
            <w:tcBorders>
              <w:top w:val="single" w:color="auto" w:sz="12" w:space="0"/>
              <w:bottom w:val="single" w:color="auto" w:sz="4" w:space="0"/>
            </w:tcBorders>
            <w:tcMar>
              <w:left w:w="0" w:type="dxa"/>
              <w:right w:w="0" w:type="dxa"/>
            </w:tcMar>
            <w:hideMark/>
          </w:tcPr>
          <w:p w:rsidRPr="00766877" w:rsidR="00BF1B84" w:rsidP="007C7CA2" w:rsidRDefault="00BF1B84" w14:paraId="17BA09AF" w14:textId="55E71E22">
            <w:pPr>
              <w:pStyle w:val="TableCell"/>
              <w:keepNext w:val="0"/>
              <w:jc w:val="left"/>
              <w:rPr>
                <w:sz w:val="16"/>
                <w:lang w:val="en-GB"/>
              </w:rPr>
            </w:pPr>
            <w:r w:rsidRPr="001A0B9D">
              <w:rPr>
                <w:sz w:val="16"/>
                <w:u w:val="single"/>
                <w:lang w:val="en-GB"/>
              </w:rPr>
              <w:t>Reported data</w:t>
            </w:r>
            <w:r w:rsidRPr="001A0B9D">
              <w:rPr>
                <w:sz w:val="16"/>
                <w:lang w:val="en-GB"/>
              </w:rPr>
              <w:t xml:space="preserve">: EU, </w:t>
            </w:r>
            <w:r w:rsidR="00586FD6">
              <w:rPr>
                <w:sz w:val="16"/>
                <w:lang w:val="en-GB"/>
              </w:rPr>
              <w:t xml:space="preserve">AUS, CAN, </w:t>
            </w:r>
            <w:r w:rsidRPr="001A0B9D">
              <w:rPr>
                <w:sz w:val="16"/>
                <w:lang w:val="en-GB"/>
              </w:rPr>
              <w:t xml:space="preserve">CHE, COL, </w:t>
            </w:r>
            <w:r w:rsidR="00586FD6">
              <w:rPr>
                <w:sz w:val="16"/>
                <w:lang w:val="en-GB"/>
              </w:rPr>
              <w:t xml:space="preserve">IDN, ISL, KOR, </w:t>
            </w:r>
            <w:r w:rsidRPr="001A0B9D">
              <w:rPr>
                <w:sz w:val="16"/>
                <w:lang w:val="en-GB"/>
              </w:rPr>
              <w:t xml:space="preserve">NOR, </w:t>
            </w:r>
            <w:r w:rsidR="00586FD6">
              <w:rPr>
                <w:sz w:val="16"/>
                <w:lang w:val="en-GB"/>
              </w:rPr>
              <w:t xml:space="preserve">NZL, </w:t>
            </w:r>
            <w:r w:rsidRPr="001A0B9D">
              <w:rPr>
                <w:sz w:val="16"/>
                <w:lang w:val="en-GB"/>
              </w:rPr>
              <w:t xml:space="preserve">SRB, </w:t>
            </w:r>
            <w:proofErr w:type="gramStart"/>
            <w:r w:rsidRPr="001A0B9D">
              <w:rPr>
                <w:sz w:val="16"/>
                <w:lang w:val="en-GB"/>
              </w:rPr>
              <w:t>TUR,UKR</w:t>
            </w:r>
            <w:proofErr w:type="gramEnd"/>
            <w:r w:rsidRPr="001A0B9D">
              <w:rPr>
                <w:sz w:val="16"/>
                <w:lang w:val="en-GB"/>
              </w:rPr>
              <w:t xml:space="preserve">  </w:t>
            </w:r>
          </w:p>
          <w:p w:rsidRPr="00766877" w:rsidR="00BF1B84" w:rsidP="007C7CA2" w:rsidRDefault="00BF1B84" w14:paraId="17BA09B0" w14:textId="14A3A23A">
            <w:pPr>
              <w:pStyle w:val="TableCell"/>
              <w:keepNext w:val="0"/>
              <w:jc w:val="left"/>
              <w:rPr>
                <w:sz w:val="16"/>
                <w:lang w:val="en-GB"/>
              </w:rPr>
            </w:pPr>
            <w:r w:rsidRPr="001A0B9D">
              <w:rPr>
                <w:sz w:val="16"/>
                <w:u w:val="single"/>
                <w:lang w:val="en-GB"/>
              </w:rPr>
              <w:t>Estimated by IO</w:t>
            </w:r>
            <w:r w:rsidRPr="001A0B9D">
              <w:rPr>
                <w:sz w:val="16"/>
                <w:lang w:val="en-GB"/>
              </w:rPr>
              <w:t xml:space="preserve">: JPN, KAZ, RUS, USA </w:t>
            </w:r>
          </w:p>
        </w:tc>
        <w:tc>
          <w:tcPr>
            <w:tcW w:w="465" w:type="pct"/>
            <w:tcBorders>
              <w:top w:val="single" w:color="auto" w:sz="12" w:space="0"/>
              <w:left w:val="nil"/>
              <w:bottom w:val="single" w:color="auto" w:sz="4" w:space="0"/>
              <w:right w:val="nil"/>
            </w:tcBorders>
            <w:tcMar>
              <w:left w:w="0" w:type="dxa"/>
              <w:right w:w="0" w:type="dxa"/>
            </w:tcMar>
          </w:tcPr>
          <w:p w:rsidRPr="00766877" w:rsidR="00BF1B84" w:rsidP="007C7CA2" w:rsidRDefault="00BF1B84" w14:paraId="17BA09B1"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u w:val="single"/>
                <w:lang w:val="en-GB"/>
              </w:rPr>
              <w:t>Reported</w:t>
            </w:r>
            <w:r w:rsidRPr="001A0B9D">
              <w:rPr>
                <w:sz w:val="16"/>
                <w:lang w:val="en-GB"/>
              </w:rPr>
              <w:t xml:space="preserve">: </w:t>
            </w:r>
          </w:p>
          <w:p w:rsidRPr="00766877" w:rsidR="00BF1B84" w:rsidP="007C7CA2" w:rsidRDefault="00BF1B84" w14:paraId="17BA09B2" w14:textId="0BE0BDED">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2000-20</w:t>
            </w:r>
            <w:r w:rsidR="0096443D">
              <w:rPr>
                <w:sz w:val="16"/>
                <w:lang w:val="en-GB"/>
              </w:rPr>
              <w:t>21</w:t>
            </w:r>
            <w:r w:rsidRPr="001A0B9D">
              <w:rPr>
                <w:sz w:val="16"/>
                <w:lang w:val="en-GB"/>
              </w:rPr>
              <w:t>*</w:t>
            </w:r>
          </w:p>
          <w:p w:rsidRPr="00766877" w:rsidR="00BF1B84" w:rsidP="007C7CA2" w:rsidRDefault="00BF1B84" w14:paraId="17BA09B3" w14:textId="25657C35">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u w:val="single"/>
                <w:lang w:val="en-GB"/>
              </w:rPr>
              <w:t>Estimated</w:t>
            </w:r>
            <w:r w:rsidRPr="001A0B9D">
              <w:rPr>
                <w:sz w:val="16"/>
                <w:lang w:val="en-GB"/>
              </w:rPr>
              <w:t xml:space="preserve">: </w:t>
            </w:r>
            <w:r w:rsidRPr="001A0B9D">
              <w:rPr>
                <w:sz w:val="16"/>
                <w:lang w:val="en-GB"/>
              </w:rPr>
              <w:br/>
            </w:r>
            <w:r w:rsidRPr="001A0B9D">
              <w:rPr>
                <w:sz w:val="16"/>
                <w:lang w:val="en-GB"/>
              </w:rPr>
              <w:t>2008-20</w:t>
            </w:r>
            <w:r w:rsidR="0096443D">
              <w:rPr>
                <w:sz w:val="16"/>
                <w:lang w:val="en-GB"/>
              </w:rPr>
              <w:t>21</w:t>
            </w:r>
            <w:r w:rsidRPr="001A0B9D">
              <w:rPr>
                <w:sz w:val="16"/>
                <w:lang w:val="en-GB"/>
              </w:rPr>
              <w:t>* (CO2, CH4, N2O)</w:t>
            </w:r>
          </w:p>
          <w:p w:rsidRPr="007C7CA2" w:rsidR="00BF1B84" w:rsidP="007C7CA2" w:rsidRDefault="00BF1B84" w14:paraId="17BA09B5" w14:textId="77777777">
            <w:pPr>
              <w:pStyle w:val="TableCell"/>
              <w:keepNext w:val="0"/>
              <w:spacing w:before="80"/>
              <w:jc w:val="left"/>
              <w:cnfStyle w:val="000000000000" w:firstRow="0" w:lastRow="0" w:firstColumn="0" w:lastColumn="0" w:oddVBand="0" w:evenVBand="0" w:oddHBand="0" w:evenHBand="0" w:firstRowFirstColumn="0" w:firstRowLastColumn="0" w:lastRowFirstColumn="0" w:lastRowLastColumn="0"/>
              <w:rPr>
                <w:i/>
                <w:sz w:val="16"/>
                <w:lang w:val="en-GB"/>
              </w:rPr>
            </w:pPr>
            <w:r w:rsidRPr="007C7CA2">
              <w:rPr>
                <w:i/>
                <w:sz w:val="16"/>
                <w:lang w:val="en-GB"/>
              </w:rPr>
              <w:t>*Annual updates:</w:t>
            </w:r>
          </w:p>
          <w:p w:rsidRPr="00766877" w:rsidR="00BF1B84" w:rsidP="009F2403" w:rsidRDefault="00BF1B84" w14:paraId="17BA09B6" w14:textId="649347E9">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7C7CA2">
              <w:rPr>
                <w:i/>
                <w:sz w:val="16"/>
                <w:lang w:val="en-GB"/>
              </w:rPr>
              <w:t>202</w:t>
            </w:r>
            <w:r w:rsidR="0096443D">
              <w:rPr>
                <w:i/>
                <w:sz w:val="16"/>
                <w:lang w:val="en-GB"/>
              </w:rPr>
              <w:t>1</w:t>
            </w:r>
            <w:r w:rsidRPr="007C7CA2">
              <w:rPr>
                <w:i/>
                <w:sz w:val="16"/>
                <w:lang w:val="en-GB"/>
              </w:rPr>
              <w:t xml:space="preserve"> update expected by Dec</w:t>
            </w:r>
            <w:r w:rsidR="007C7CA2">
              <w:rPr>
                <w:i/>
                <w:sz w:val="16"/>
                <w:lang w:val="en-GB"/>
              </w:rPr>
              <w:t>.</w:t>
            </w:r>
            <w:r w:rsidRPr="007C7CA2">
              <w:rPr>
                <w:i/>
                <w:sz w:val="16"/>
                <w:lang w:val="en-GB"/>
              </w:rPr>
              <w:t>202</w:t>
            </w:r>
            <w:r w:rsidR="00586FD6">
              <w:rPr>
                <w:i/>
                <w:sz w:val="16"/>
                <w:lang w:val="en-GB"/>
              </w:rPr>
              <w:t>3</w:t>
            </w:r>
          </w:p>
        </w:tc>
        <w:tc>
          <w:tcPr>
            <w:cnfStyle w:val="000010000000" w:firstRow="0" w:lastRow="0" w:firstColumn="0" w:lastColumn="0" w:oddVBand="1" w:evenVBand="0" w:oddHBand="0" w:evenHBand="0" w:firstRowFirstColumn="0" w:firstRowLastColumn="0" w:lastRowFirstColumn="0" w:lastRowLastColumn="0"/>
            <w:tcW w:w="1062" w:type="pct"/>
            <w:tcBorders>
              <w:top w:val="single" w:color="auto" w:sz="12" w:space="0"/>
              <w:bottom w:val="single" w:color="auto" w:sz="4" w:space="0"/>
            </w:tcBorders>
            <w:hideMark/>
          </w:tcPr>
          <w:p w:rsidRPr="00766877" w:rsidR="00BF1B84" w:rsidP="007C7CA2" w:rsidRDefault="00BF1B84" w14:paraId="17BA09B7" w14:textId="77777777">
            <w:pPr>
              <w:pStyle w:val="TableCell"/>
              <w:keepNext w:val="0"/>
              <w:jc w:val="left"/>
              <w:rPr>
                <w:sz w:val="16"/>
                <w:lang w:val="en-GB"/>
              </w:rPr>
            </w:pPr>
            <w:r w:rsidRPr="001A0B9D">
              <w:rPr>
                <w:sz w:val="16"/>
                <w:lang w:val="en-GB"/>
              </w:rPr>
              <w:t>ISIC Rev4</w:t>
            </w:r>
          </w:p>
          <w:p w:rsidRPr="00766877" w:rsidR="00BF1B84" w:rsidP="007C7CA2" w:rsidRDefault="00BF1B84" w14:paraId="17BA09B8" w14:textId="77777777">
            <w:pPr>
              <w:pStyle w:val="TableCell"/>
              <w:keepNext w:val="0"/>
              <w:jc w:val="left"/>
              <w:rPr>
                <w:sz w:val="16"/>
                <w:lang w:val="en-GB"/>
              </w:rPr>
            </w:pPr>
            <w:r w:rsidRPr="001A0B9D">
              <w:rPr>
                <w:sz w:val="16"/>
                <w:lang w:val="en-GB"/>
              </w:rPr>
              <w:t>Households</w:t>
            </w:r>
          </w:p>
        </w:tc>
        <w:tc>
          <w:tcPr>
            <w:tcW w:w="569" w:type="pct"/>
            <w:tcBorders>
              <w:top w:val="single" w:color="auto" w:sz="12" w:space="0"/>
              <w:left w:val="nil"/>
              <w:bottom w:val="single" w:color="auto" w:sz="4" w:space="0"/>
              <w:right w:val="nil"/>
            </w:tcBorders>
            <w:hideMark/>
          </w:tcPr>
          <w:p w:rsidRPr="00766877" w:rsidR="00BF1B84" w:rsidP="007C7CA2" w:rsidRDefault="00BF1B84" w14:paraId="17BA09B9"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Country reporting and OECD methodology to estimate accounts using UNFCCC data</w:t>
            </w:r>
          </w:p>
        </w:tc>
        <w:tc>
          <w:tcPr>
            <w:cnfStyle w:val="000010000000" w:firstRow="0" w:lastRow="0" w:firstColumn="0" w:lastColumn="0" w:oddVBand="1" w:evenVBand="0" w:oddHBand="0" w:evenHBand="0" w:firstRowFirstColumn="0" w:firstRowLastColumn="0" w:lastRowFirstColumn="0" w:lastRowLastColumn="0"/>
            <w:tcW w:w="970" w:type="pct"/>
            <w:tcBorders>
              <w:top w:val="single" w:color="auto" w:sz="12" w:space="0"/>
              <w:bottom w:val="single" w:color="auto" w:sz="4" w:space="0"/>
            </w:tcBorders>
            <w:hideMark/>
          </w:tcPr>
          <w:p w:rsidRPr="007C7CA2" w:rsidR="00BF1B84" w:rsidP="007C7CA2" w:rsidRDefault="00BF1B84" w14:paraId="17BA09BA" w14:textId="77777777">
            <w:pPr>
              <w:pStyle w:val="TableCell"/>
              <w:keepNext w:val="0"/>
              <w:jc w:val="left"/>
              <w:rPr>
                <w:sz w:val="16"/>
                <w:szCs w:val="16"/>
                <w:lang w:val="fr-FR"/>
              </w:rPr>
            </w:pPr>
            <w:proofErr w:type="gramStart"/>
            <w:r w:rsidRPr="007C7CA2">
              <w:rPr>
                <w:sz w:val="16"/>
                <w:szCs w:val="16"/>
                <w:lang w:val="fr-FR"/>
              </w:rPr>
              <w:t>Eurostat:</w:t>
            </w:r>
            <w:proofErr w:type="gramEnd"/>
            <w:r w:rsidRPr="007C7CA2">
              <w:rPr>
                <w:sz w:val="16"/>
                <w:szCs w:val="16"/>
                <w:lang w:val="fr-FR"/>
              </w:rPr>
              <w:t xml:space="preserve"> </w:t>
            </w:r>
            <w:hyperlink w:history="1" r:id="rId14">
              <w:r w:rsidRPr="007C7CA2">
                <w:rPr>
                  <w:rStyle w:val="Hyperlink"/>
                  <w:sz w:val="16"/>
                  <w:szCs w:val="16"/>
                  <w:lang w:val="fr-FR"/>
                </w:rPr>
                <w:t>http://ec.europa.eu/eurostat/data/database</w:t>
              </w:r>
            </w:hyperlink>
            <w:r w:rsidRPr="007C7CA2">
              <w:rPr>
                <w:sz w:val="16"/>
                <w:szCs w:val="16"/>
                <w:lang w:val="fr-FR"/>
              </w:rPr>
              <w:t xml:space="preserve"> , tables </w:t>
            </w:r>
            <w:r w:rsidRPr="007C7CA2">
              <w:rPr>
                <w:rStyle w:val="leaf"/>
                <w:sz w:val="16"/>
                <w:szCs w:val="16"/>
                <w:lang w:val="fr-FR"/>
              </w:rPr>
              <w:t>env_ac_ainah_r2, env_ac_aibrid_r2, env_ac_aeint_r2, env_ac_io10</w:t>
            </w:r>
          </w:p>
          <w:p w:rsidRPr="00412F5F" w:rsidR="00BF1B84" w:rsidP="007C7CA2" w:rsidRDefault="00BF1B84" w14:paraId="17BA09BB" w14:textId="77777777">
            <w:pPr>
              <w:pStyle w:val="TableCell"/>
              <w:keepNext w:val="0"/>
              <w:jc w:val="left"/>
              <w:rPr>
                <w:sz w:val="16"/>
                <w:szCs w:val="16"/>
                <w:lang w:val="es-419"/>
              </w:rPr>
            </w:pPr>
            <w:r w:rsidRPr="00412F5F">
              <w:rPr>
                <w:sz w:val="16"/>
                <w:szCs w:val="16"/>
                <w:lang w:val="es-419"/>
              </w:rPr>
              <w:t xml:space="preserve">OECD: </w:t>
            </w:r>
            <w:hyperlink w:history="1" r:id="rId15">
              <w:r w:rsidRPr="00412F5F">
                <w:rPr>
                  <w:rStyle w:val="Hyperlink"/>
                  <w:sz w:val="16"/>
                  <w:szCs w:val="16"/>
                  <w:lang w:val="es-419"/>
                </w:rPr>
                <w:t>https://doi.org/10.1787/data-00735-en</w:t>
              </w:r>
            </w:hyperlink>
          </w:p>
        </w:tc>
        <w:tc>
          <w:tcPr>
            <w:tcW w:w="660" w:type="pct"/>
            <w:tcBorders>
              <w:top w:val="single" w:color="auto" w:sz="12" w:space="0"/>
              <w:left w:val="nil"/>
              <w:bottom w:val="single" w:color="auto" w:sz="4" w:space="0"/>
              <w:right w:val="nil"/>
            </w:tcBorders>
            <w:hideMark/>
          </w:tcPr>
          <w:p w:rsidRPr="00766877" w:rsidR="00BF1B84" w:rsidP="007C7CA2" w:rsidRDefault="00BF1B84" w14:paraId="17BA09BC"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b/>
                <w:sz w:val="16"/>
                <w:lang w:val="en-GB"/>
              </w:rPr>
            </w:pPr>
            <w:r w:rsidRPr="001A0B9D">
              <w:rPr>
                <w:b/>
                <w:sz w:val="16"/>
                <w:lang w:val="en-GB"/>
              </w:rPr>
              <w:t>Mature</w:t>
            </w:r>
          </w:p>
          <w:p w:rsidRPr="00766877" w:rsidR="00BF1B84" w:rsidP="009F2403" w:rsidRDefault="00BF1B84" w14:paraId="17BA09BD"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 xml:space="preserve">Based on </w:t>
            </w:r>
            <w:r w:rsidRPr="001A0B9D">
              <w:rPr>
                <w:lang w:val="en-GB"/>
              </w:rPr>
              <w:br/>
            </w:r>
            <w:hyperlink w:history="1" r:id="rId16">
              <w:r w:rsidRPr="003F552A">
                <w:rPr>
                  <w:rStyle w:val="Hyperlink"/>
                  <w:sz w:val="16"/>
                  <w:lang w:val="en-GB"/>
                </w:rPr>
                <w:t>Eurostat Manual</w:t>
              </w:r>
            </w:hyperlink>
            <w:r w:rsidRPr="003F552A">
              <w:rPr>
                <w:sz w:val="16"/>
                <w:lang w:val="en-GB"/>
              </w:rPr>
              <w:t xml:space="preserve"> and </w:t>
            </w:r>
            <w:r w:rsidRPr="003F552A">
              <w:rPr>
                <w:lang w:val="en-GB"/>
              </w:rPr>
              <w:br/>
            </w:r>
            <w:hyperlink w:history="1" r:id="rId17">
              <w:r w:rsidRPr="003F552A">
                <w:rPr>
                  <w:rStyle w:val="Hyperlink"/>
                  <w:sz w:val="16"/>
                  <w:lang w:val="en-GB"/>
                </w:rPr>
                <w:t>OECD Methodology</w:t>
              </w:r>
            </w:hyperlink>
            <w:r w:rsidRPr="003F552A">
              <w:rPr>
                <w:sz w:val="16"/>
                <w:lang w:val="en-GB"/>
              </w:rPr>
              <w:t xml:space="preserve"> </w:t>
            </w:r>
            <w:r w:rsidRPr="003F552A">
              <w:rPr>
                <w:lang w:val="en-GB"/>
              </w:rPr>
              <w:br/>
            </w:r>
            <w:r w:rsidRPr="001A0B9D">
              <w:rPr>
                <w:sz w:val="16"/>
                <w:lang w:val="en-GB"/>
              </w:rPr>
              <w:t>(endorsed by SEEA-CF TC)</w:t>
            </w:r>
          </w:p>
        </w:tc>
      </w:tr>
      <w:tr w:rsidRPr="003F552A" w:rsidR="006A0CFE" w:rsidTr="63758C50" w14:paraId="17BA09CC" w14:textId="77777777">
        <w:trPr>
          <w:jc w:val="center"/>
        </w:trPr>
        <w:tc>
          <w:tcPr>
            <w:cnfStyle w:val="000010000000" w:firstRow="0" w:lastRow="0" w:firstColumn="0" w:lastColumn="0" w:oddVBand="1" w:evenVBand="0" w:oddHBand="0" w:evenHBand="0" w:firstRowFirstColumn="0" w:firstRowLastColumn="0" w:lastRowFirstColumn="0" w:lastRowLastColumn="0"/>
            <w:tcW w:w="519" w:type="pct"/>
            <w:tcBorders>
              <w:top w:val="single" w:color="auto" w:sz="4" w:space="0"/>
              <w:bottom w:val="single" w:color="auto" w:sz="4" w:space="0"/>
            </w:tcBorders>
            <w:vAlign w:val="center"/>
            <w:hideMark/>
          </w:tcPr>
          <w:p w:rsidRPr="003F552A" w:rsidR="00BF1B84" w:rsidP="007C7CA2" w:rsidRDefault="00BF1B84" w14:paraId="17BA09BF" w14:textId="77777777">
            <w:pPr>
              <w:pStyle w:val="TableRow"/>
              <w:keepNext w:val="0"/>
              <w:rPr>
                <w:b/>
                <w:sz w:val="16"/>
                <w:lang w:val="en-GB"/>
              </w:rPr>
            </w:pPr>
            <w:r w:rsidRPr="003F552A">
              <w:rPr>
                <w:b/>
                <w:sz w:val="16"/>
                <w:lang w:val="en-GB"/>
              </w:rPr>
              <w:t>Energy</w:t>
            </w:r>
          </w:p>
        </w:tc>
        <w:tc>
          <w:tcPr>
            <w:tcW w:w="311" w:type="pct"/>
            <w:tcBorders>
              <w:top w:val="single" w:color="auto" w:sz="4" w:space="0"/>
              <w:left w:val="nil"/>
              <w:bottom w:val="single" w:color="auto" w:sz="4" w:space="0"/>
              <w:right w:val="nil"/>
            </w:tcBorders>
            <w:vAlign w:val="center"/>
            <w:hideMark/>
          </w:tcPr>
          <w:p w:rsidRPr="00766877" w:rsidR="00BF1B84" w:rsidP="007C7CA2" w:rsidRDefault="00BF1B84" w14:paraId="17BA09C0"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Eurostat,</w:t>
            </w:r>
          </w:p>
          <w:p w:rsidRPr="00766877" w:rsidR="00BF1B84" w:rsidP="007C7CA2" w:rsidRDefault="00BF1B84" w14:paraId="17BA09C1"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IEA,</w:t>
            </w:r>
          </w:p>
          <w:p w:rsidRPr="00766877" w:rsidR="00BF1B84" w:rsidP="007C7CA2" w:rsidRDefault="00BF1B84" w14:paraId="17BA09C2"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UNSD</w:t>
            </w:r>
          </w:p>
        </w:tc>
        <w:tc>
          <w:tcPr>
            <w:cnfStyle w:val="000010000000" w:firstRow="0" w:lastRow="0" w:firstColumn="0" w:lastColumn="0" w:oddVBand="1" w:evenVBand="0" w:oddHBand="0" w:evenHBand="0" w:firstRowFirstColumn="0" w:firstRowLastColumn="0" w:lastRowFirstColumn="0" w:lastRowLastColumn="0"/>
            <w:tcW w:w="444" w:type="pct"/>
            <w:tcBorders>
              <w:top w:val="single" w:color="auto" w:sz="4" w:space="0"/>
              <w:bottom w:val="single" w:color="auto" w:sz="4" w:space="0"/>
            </w:tcBorders>
            <w:tcMar>
              <w:left w:w="0" w:type="dxa"/>
              <w:right w:w="0" w:type="dxa"/>
            </w:tcMar>
          </w:tcPr>
          <w:p w:rsidRPr="003007DA" w:rsidR="00BF1B84" w:rsidP="007C7CA2" w:rsidRDefault="00BF1B84" w14:paraId="17BA09C4" w14:textId="31685FA8">
            <w:pPr>
              <w:pStyle w:val="TableCell"/>
              <w:keepNext w:val="0"/>
              <w:jc w:val="left"/>
              <w:rPr>
                <w:sz w:val="16"/>
                <w:lang w:val="en-GB"/>
              </w:rPr>
            </w:pPr>
            <w:r w:rsidRPr="001A0B9D">
              <w:rPr>
                <w:sz w:val="16"/>
                <w:lang w:val="en-GB"/>
              </w:rPr>
              <w:t>EU, AUS, BHU, BWA, CAN, COL, CRI, FJI, GEO, JAM, KEN, MYS, MUS MEX, FSM, PLW, PRY, RSA, TUR</w:t>
            </w:r>
          </w:p>
        </w:tc>
        <w:tc>
          <w:tcPr>
            <w:tcW w:w="465" w:type="pct"/>
            <w:tcBorders>
              <w:top w:val="single" w:color="auto" w:sz="4" w:space="0"/>
              <w:left w:val="nil"/>
              <w:bottom w:val="single" w:color="auto" w:sz="4" w:space="0"/>
              <w:right w:val="nil"/>
            </w:tcBorders>
            <w:hideMark/>
          </w:tcPr>
          <w:p w:rsidRPr="00766877" w:rsidR="00BF1B84" w:rsidP="007C7CA2" w:rsidRDefault="00BF1B84" w14:paraId="17BA09C5" w14:textId="10FA325D">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2008-20</w:t>
            </w:r>
            <w:r w:rsidR="0096443D">
              <w:rPr>
                <w:sz w:val="16"/>
                <w:lang w:val="en-GB"/>
              </w:rPr>
              <w:t>21</w:t>
            </w:r>
          </w:p>
        </w:tc>
        <w:tc>
          <w:tcPr>
            <w:cnfStyle w:val="000010000000" w:firstRow="0" w:lastRow="0" w:firstColumn="0" w:lastColumn="0" w:oddVBand="1" w:evenVBand="0" w:oddHBand="0" w:evenHBand="0" w:firstRowFirstColumn="0" w:firstRowLastColumn="0" w:lastRowFirstColumn="0" w:lastRowLastColumn="0"/>
            <w:tcW w:w="1062" w:type="pct"/>
            <w:tcBorders>
              <w:top w:val="single" w:color="auto" w:sz="4" w:space="0"/>
              <w:bottom w:val="single" w:color="auto" w:sz="4" w:space="0"/>
            </w:tcBorders>
            <w:hideMark/>
          </w:tcPr>
          <w:p w:rsidRPr="00766877" w:rsidR="00BF1B84" w:rsidP="007C7CA2" w:rsidRDefault="00BF1B84" w14:paraId="17BA09C6" w14:textId="77777777">
            <w:pPr>
              <w:pStyle w:val="TableCell"/>
              <w:keepNext w:val="0"/>
              <w:jc w:val="left"/>
              <w:rPr>
                <w:sz w:val="16"/>
                <w:lang w:val="en-GB"/>
              </w:rPr>
            </w:pPr>
            <w:r w:rsidRPr="001A0B9D">
              <w:rPr>
                <w:sz w:val="16"/>
                <w:lang w:val="en-GB"/>
              </w:rPr>
              <w:t>ISIC Rev4</w:t>
            </w:r>
          </w:p>
          <w:p w:rsidRPr="00766877" w:rsidR="00BF1B84" w:rsidP="007C7CA2" w:rsidRDefault="00BF1B84" w14:paraId="17BA09C7" w14:textId="77777777">
            <w:pPr>
              <w:pStyle w:val="TableCell"/>
              <w:keepNext w:val="0"/>
              <w:jc w:val="left"/>
              <w:rPr>
                <w:sz w:val="16"/>
                <w:lang w:val="en-GB"/>
              </w:rPr>
            </w:pPr>
            <w:r w:rsidRPr="001A0B9D">
              <w:rPr>
                <w:sz w:val="16"/>
                <w:lang w:val="en-GB"/>
              </w:rPr>
              <w:t>Households</w:t>
            </w:r>
          </w:p>
        </w:tc>
        <w:tc>
          <w:tcPr>
            <w:tcW w:w="569" w:type="pct"/>
            <w:tcBorders>
              <w:top w:val="single" w:color="auto" w:sz="4" w:space="0"/>
              <w:left w:val="nil"/>
              <w:bottom w:val="single" w:color="auto" w:sz="4" w:space="0"/>
              <w:right w:val="nil"/>
            </w:tcBorders>
            <w:hideMark/>
          </w:tcPr>
          <w:p w:rsidRPr="00766877" w:rsidR="00BF1B84" w:rsidP="007C7CA2" w:rsidRDefault="00BF1B84" w14:paraId="17BA09C8"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Country reporting, IEA estimates and UNSD methodology to estimate accounts</w:t>
            </w:r>
          </w:p>
        </w:tc>
        <w:tc>
          <w:tcPr>
            <w:cnfStyle w:val="000010000000" w:firstRow="0" w:lastRow="0" w:firstColumn="0" w:lastColumn="0" w:oddVBand="1" w:evenVBand="0" w:oddHBand="0" w:evenHBand="0" w:firstRowFirstColumn="0" w:firstRowLastColumn="0" w:lastRowFirstColumn="0" w:lastRowLastColumn="0"/>
            <w:tcW w:w="970" w:type="pct"/>
            <w:tcBorders>
              <w:top w:val="single" w:color="auto" w:sz="4" w:space="0"/>
              <w:bottom w:val="single" w:color="auto" w:sz="4" w:space="0"/>
            </w:tcBorders>
            <w:hideMark/>
          </w:tcPr>
          <w:p w:rsidRPr="007C7CA2" w:rsidR="00BF1B84" w:rsidP="007C7CA2" w:rsidRDefault="00BF1B84" w14:paraId="17BA09C9" w14:textId="77777777">
            <w:pPr>
              <w:pStyle w:val="TableCell"/>
              <w:keepNext w:val="0"/>
              <w:jc w:val="left"/>
              <w:rPr>
                <w:sz w:val="16"/>
                <w:szCs w:val="16"/>
                <w:lang w:val="fr-FR"/>
              </w:rPr>
            </w:pPr>
            <w:proofErr w:type="gramStart"/>
            <w:r w:rsidRPr="007C7CA2">
              <w:rPr>
                <w:sz w:val="16"/>
                <w:szCs w:val="16"/>
                <w:lang w:val="fr-FR"/>
              </w:rPr>
              <w:t>Eurostat:</w:t>
            </w:r>
            <w:proofErr w:type="gramEnd"/>
            <w:r w:rsidRPr="007C7CA2">
              <w:rPr>
                <w:sz w:val="16"/>
                <w:szCs w:val="16"/>
                <w:lang w:val="fr-FR"/>
              </w:rPr>
              <w:t xml:space="preserve"> </w:t>
            </w:r>
            <w:hyperlink w:history="1" r:id="rId18">
              <w:r w:rsidRPr="007C7CA2">
                <w:rPr>
                  <w:rStyle w:val="Hyperlink"/>
                  <w:sz w:val="16"/>
                  <w:szCs w:val="16"/>
                  <w:lang w:val="fr-FR"/>
                </w:rPr>
                <w:t>http://ec.europa.eu/eurostat/data/database</w:t>
              </w:r>
            </w:hyperlink>
            <w:r w:rsidRPr="007C7CA2">
              <w:rPr>
                <w:sz w:val="16"/>
                <w:szCs w:val="16"/>
                <w:lang w:val="fr-FR"/>
              </w:rPr>
              <w:t xml:space="preserve"> , tables </w:t>
            </w:r>
            <w:proofErr w:type="spellStart"/>
            <w:r w:rsidRPr="007C7CA2">
              <w:rPr>
                <w:rStyle w:val="leaf"/>
                <w:sz w:val="16"/>
                <w:szCs w:val="16"/>
                <w:lang w:val="fr-FR"/>
              </w:rPr>
              <w:t>env_ac_pefasu</w:t>
            </w:r>
            <w:proofErr w:type="spellEnd"/>
            <w:r w:rsidRPr="007C7CA2">
              <w:rPr>
                <w:rStyle w:val="leaf"/>
                <w:sz w:val="16"/>
                <w:szCs w:val="16"/>
                <w:lang w:val="fr-FR"/>
              </w:rPr>
              <w:t>, env_ac_pefa04, env_ac_pefa05</w:t>
            </w:r>
          </w:p>
        </w:tc>
        <w:tc>
          <w:tcPr>
            <w:tcW w:w="660" w:type="pct"/>
            <w:tcBorders>
              <w:top w:val="single" w:color="auto" w:sz="4" w:space="0"/>
              <w:left w:val="nil"/>
              <w:bottom w:val="single" w:color="auto" w:sz="4" w:space="0"/>
              <w:right w:val="nil"/>
            </w:tcBorders>
            <w:hideMark/>
          </w:tcPr>
          <w:p w:rsidRPr="00766877" w:rsidR="00BF1B84" w:rsidP="007C7CA2" w:rsidRDefault="00BF1B84" w14:paraId="17BA09CA"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b/>
                <w:sz w:val="16"/>
                <w:lang w:val="en-GB"/>
              </w:rPr>
            </w:pPr>
            <w:r w:rsidRPr="001A0B9D">
              <w:rPr>
                <w:b/>
                <w:sz w:val="16"/>
                <w:lang w:val="en-GB"/>
              </w:rPr>
              <w:t>Mature</w:t>
            </w:r>
          </w:p>
          <w:p w:rsidRPr="00766877" w:rsidR="00BF1B84" w:rsidP="009F2403" w:rsidRDefault="00BF1B84" w14:paraId="17BA09CB"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Based on Eurostat and IEA manuals, and UNSD conversion methodology (to be submitted to SEEA-CF TC)</w:t>
            </w:r>
          </w:p>
        </w:tc>
      </w:tr>
      <w:tr w:rsidRPr="003F552A" w:rsidR="006A0CFE" w:rsidTr="63758C50" w14:paraId="17BA09E3" w14:textId="77777777">
        <w:trPr>
          <w:jc w:val="center"/>
        </w:trPr>
        <w:tc>
          <w:tcPr>
            <w:cnfStyle w:val="000010000000" w:firstRow="0" w:lastRow="0" w:firstColumn="0" w:lastColumn="0" w:oddVBand="1" w:evenVBand="0" w:oddHBand="0" w:evenHBand="0" w:firstRowFirstColumn="0" w:firstRowLastColumn="0" w:lastRowFirstColumn="0" w:lastRowLastColumn="0"/>
            <w:tcW w:w="519" w:type="pct"/>
            <w:tcBorders>
              <w:top w:val="single" w:color="auto" w:sz="4" w:space="0"/>
              <w:bottom w:val="single" w:color="auto" w:sz="4" w:space="0"/>
            </w:tcBorders>
            <w:vAlign w:val="center"/>
            <w:hideMark/>
          </w:tcPr>
          <w:p w:rsidRPr="003F552A" w:rsidR="00BF1B84" w:rsidP="007C7CA2" w:rsidRDefault="00BF1B84" w14:paraId="17BA09CD" w14:textId="77777777">
            <w:pPr>
              <w:pStyle w:val="TableRow"/>
              <w:keepNext w:val="0"/>
              <w:rPr>
                <w:b/>
                <w:sz w:val="16"/>
                <w:lang w:val="en-GB"/>
              </w:rPr>
            </w:pPr>
            <w:r w:rsidRPr="003F552A">
              <w:rPr>
                <w:b/>
                <w:sz w:val="16"/>
                <w:lang w:val="en-GB"/>
              </w:rPr>
              <w:t>Economy-wide material flows</w:t>
            </w:r>
          </w:p>
        </w:tc>
        <w:tc>
          <w:tcPr>
            <w:tcW w:w="311" w:type="pct"/>
            <w:tcBorders>
              <w:top w:val="single" w:color="auto" w:sz="4" w:space="0"/>
              <w:left w:val="nil"/>
              <w:bottom w:val="single" w:color="auto" w:sz="4" w:space="0"/>
              <w:right w:val="nil"/>
            </w:tcBorders>
            <w:vAlign w:val="center"/>
            <w:hideMark/>
          </w:tcPr>
          <w:p w:rsidRPr="006E6EF2" w:rsidR="00BF1B84" w:rsidP="007C7CA2" w:rsidRDefault="00BF1B84" w14:paraId="17BA09CE"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fr-FR"/>
              </w:rPr>
            </w:pPr>
            <w:r w:rsidRPr="006E6EF2">
              <w:rPr>
                <w:sz w:val="16"/>
                <w:lang w:val="fr-FR"/>
              </w:rPr>
              <w:t>Eurostat,</w:t>
            </w:r>
          </w:p>
          <w:p w:rsidRPr="006E6EF2" w:rsidR="00BF1B84" w:rsidP="007C7CA2" w:rsidRDefault="00BF1B84" w14:paraId="17BA09CF"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fr-FR"/>
              </w:rPr>
            </w:pPr>
            <w:r w:rsidRPr="006E6EF2">
              <w:rPr>
                <w:sz w:val="16"/>
                <w:lang w:val="fr-FR"/>
              </w:rPr>
              <w:t>OECD,</w:t>
            </w:r>
          </w:p>
          <w:p w:rsidRPr="006E6EF2" w:rsidR="00BF1B84" w:rsidP="007C7CA2" w:rsidRDefault="00BF1B84" w14:paraId="17BA09D0"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fr-FR"/>
              </w:rPr>
            </w:pPr>
            <w:r w:rsidRPr="006E6EF2">
              <w:rPr>
                <w:sz w:val="16"/>
                <w:lang w:val="fr-FR"/>
              </w:rPr>
              <w:t>UN Env. (and IRP)</w:t>
            </w:r>
          </w:p>
        </w:tc>
        <w:tc>
          <w:tcPr>
            <w:cnfStyle w:val="000010000000" w:firstRow="0" w:lastRow="0" w:firstColumn="0" w:lastColumn="0" w:oddVBand="1" w:evenVBand="0" w:oddHBand="0" w:evenHBand="0" w:firstRowFirstColumn="0" w:firstRowLastColumn="0" w:lastRowFirstColumn="0" w:lastRowLastColumn="0"/>
            <w:tcW w:w="444" w:type="pct"/>
            <w:tcBorders>
              <w:top w:val="single" w:color="auto" w:sz="4" w:space="0"/>
              <w:bottom w:val="single" w:color="auto" w:sz="4" w:space="0"/>
            </w:tcBorders>
            <w:hideMark/>
          </w:tcPr>
          <w:p w:rsidRPr="00766877" w:rsidR="00BF1B84" w:rsidP="007C7CA2" w:rsidRDefault="00BF1B84" w14:paraId="17BA09D1" w14:textId="77777777">
            <w:pPr>
              <w:pStyle w:val="TableCell"/>
              <w:keepNext w:val="0"/>
              <w:jc w:val="left"/>
              <w:rPr>
                <w:sz w:val="16"/>
                <w:lang w:val="en-GB"/>
              </w:rPr>
            </w:pPr>
            <w:r w:rsidRPr="001A0B9D">
              <w:rPr>
                <w:sz w:val="16"/>
                <w:lang w:val="en-GB"/>
              </w:rPr>
              <w:t>Global</w:t>
            </w:r>
          </w:p>
        </w:tc>
        <w:tc>
          <w:tcPr>
            <w:tcW w:w="465" w:type="pct"/>
            <w:tcBorders>
              <w:top w:val="single" w:color="auto" w:sz="4" w:space="0"/>
              <w:left w:val="nil"/>
              <w:bottom w:val="single" w:color="auto" w:sz="4" w:space="0"/>
              <w:right w:val="nil"/>
            </w:tcBorders>
          </w:tcPr>
          <w:p w:rsidRPr="00766877" w:rsidR="00BF1B84" w:rsidP="007C7CA2" w:rsidRDefault="00BF1B84" w14:paraId="17BA09D2" w14:textId="4713C3AE">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1970-20</w:t>
            </w:r>
            <w:r w:rsidR="0096443D">
              <w:rPr>
                <w:sz w:val="16"/>
                <w:lang w:val="en-GB"/>
              </w:rPr>
              <w:t>20</w:t>
            </w:r>
          </w:p>
          <w:p w:rsidRPr="00766877" w:rsidR="00BF1B84" w:rsidP="007C7CA2" w:rsidRDefault="00BF1B84" w14:paraId="17BA09D4"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Annual updates</w:t>
            </w:r>
          </w:p>
        </w:tc>
        <w:tc>
          <w:tcPr>
            <w:cnfStyle w:val="000010000000" w:firstRow="0" w:lastRow="0" w:firstColumn="0" w:lastColumn="0" w:oddVBand="1" w:evenVBand="0" w:oddHBand="0" w:evenHBand="0" w:firstRowFirstColumn="0" w:firstRowLastColumn="0" w:lastRowFirstColumn="0" w:lastRowLastColumn="0"/>
            <w:tcW w:w="1062" w:type="pct"/>
            <w:tcBorders>
              <w:top w:val="single" w:color="auto" w:sz="4" w:space="0"/>
              <w:bottom w:val="single" w:color="auto" w:sz="4" w:space="0"/>
            </w:tcBorders>
            <w:hideMark/>
          </w:tcPr>
          <w:p w:rsidRPr="00766877" w:rsidR="00BF1B84" w:rsidP="007C7CA2" w:rsidRDefault="00BF1B84" w14:paraId="17BA09D5" w14:textId="77777777">
            <w:pPr>
              <w:pStyle w:val="TableCell"/>
              <w:keepNext w:val="0"/>
              <w:jc w:val="left"/>
              <w:rPr>
                <w:sz w:val="16"/>
                <w:lang w:val="en-GB"/>
              </w:rPr>
            </w:pPr>
            <w:r w:rsidRPr="001A0B9D">
              <w:rPr>
                <w:sz w:val="16"/>
                <w:lang w:val="en-GB"/>
              </w:rPr>
              <w:t>Material groups</w:t>
            </w:r>
          </w:p>
          <w:p w:rsidRPr="00766877" w:rsidR="00BF1B84" w:rsidP="007C7CA2" w:rsidRDefault="00BF1B84" w14:paraId="17BA09D6" w14:textId="77777777">
            <w:pPr>
              <w:pStyle w:val="TableCell"/>
              <w:keepNext w:val="0"/>
              <w:jc w:val="left"/>
              <w:rPr>
                <w:sz w:val="16"/>
                <w:lang w:val="en-GB"/>
              </w:rPr>
            </w:pPr>
            <w:r w:rsidRPr="001A0B9D">
              <w:rPr>
                <w:sz w:val="16"/>
                <w:lang w:val="en-GB"/>
              </w:rPr>
              <w:t>(</w:t>
            </w:r>
            <w:proofErr w:type="gramStart"/>
            <w:r w:rsidRPr="001A0B9D">
              <w:rPr>
                <w:sz w:val="16"/>
                <w:lang w:val="en-GB"/>
              </w:rPr>
              <w:t>no</w:t>
            </w:r>
            <w:proofErr w:type="gramEnd"/>
            <w:r w:rsidRPr="001A0B9D">
              <w:rPr>
                <w:sz w:val="16"/>
                <w:lang w:val="en-GB"/>
              </w:rPr>
              <w:t xml:space="preserve"> ISIC breakdown)</w:t>
            </w:r>
          </w:p>
        </w:tc>
        <w:tc>
          <w:tcPr>
            <w:tcW w:w="569" w:type="pct"/>
            <w:tcBorders>
              <w:top w:val="single" w:color="auto" w:sz="4" w:space="0"/>
              <w:left w:val="nil"/>
              <w:bottom w:val="single" w:color="auto" w:sz="4" w:space="0"/>
              <w:right w:val="nil"/>
            </w:tcBorders>
            <w:hideMark/>
          </w:tcPr>
          <w:p w:rsidRPr="00766877" w:rsidR="00BF1B84" w:rsidP="007C7CA2" w:rsidRDefault="00BF1B84" w14:paraId="17BA09D7"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Country reporting and international databases from Eurostat, UN Environment,</w:t>
            </w:r>
            <w:r w:rsidRPr="001A0B9D">
              <w:rPr>
                <w:lang w:val="en-GB"/>
              </w:rPr>
              <w:br/>
            </w:r>
            <w:r w:rsidRPr="001A0B9D">
              <w:rPr>
                <w:sz w:val="16"/>
                <w:lang w:val="en-GB"/>
              </w:rPr>
              <w:t>(</w:t>
            </w:r>
            <w:r w:rsidRPr="001A0B9D">
              <w:rPr>
                <w:i/>
                <w:sz w:val="16"/>
                <w:lang w:val="en-GB"/>
              </w:rPr>
              <w:t>and OECD</w:t>
            </w:r>
            <w:r w:rsidRPr="001A0B9D">
              <w:rPr>
                <w:sz w:val="16"/>
                <w:lang w:val="en-GB"/>
              </w:rPr>
              <w:t>*)</w:t>
            </w:r>
          </w:p>
        </w:tc>
        <w:tc>
          <w:tcPr>
            <w:cnfStyle w:val="000010000000" w:firstRow="0" w:lastRow="0" w:firstColumn="0" w:lastColumn="0" w:oddVBand="1" w:evenVBand="0" w:oddHBand="0" w:evenHBand="0" w:firstRowFirstColumn="0" w:firstRowLastColumn="0" w:lastRowFirstColumn="0" w:lastRowLastColumn="0"/>
            <w:tcW w:w="970" w:type="pct"/>
            <w:tcBorders>
              <w:top w:val="single" w:color="auto" w:sz="4" w:space="0"/>
              <w:bottom w:val="single" w:color="auto" w:sz="4" w:space="0"/>
            </w:tcBorders>
            <w:hideMark/>
          </w:tcPr>
          <w:p w:rsidRPr="007C7CA2" w:rsidR="00BF1B84" w:rsidP="007C7CA2" w:rsidRDefault="00BF1B84" w14:paraId="17BA09D8" w14:textId="77777777">
            <w:pPr>
              <w:pStyle w:val="TableCell"/>
              <w:keepNext w:val="0"/>
              <w:jc w:val="left"/>
              <w:rPr>
                <w:sz w:val="16"/>
                <w:szCs w:val="16"/>
                <w:lang w:val="fr-FR"/>
              </w:rPr>
            </w:pPr>
            <w:r w:rsidRPr="007C7CA2">
              <w:rPr>
                <w:sz w:val="16"/>
                <w:szCs w:val="16"/>
                <w:lang w:val="fr-FR"/>
              </w:rPr>
              <w:t xml:space="preserve">UN </w:t>
            </w:r>
            <w:proofErr w:type="spellStart"/>
            <w:r w:rsidRPr="007C7CA2">
              <w:rPr>
                <w:sz w:val="16"/>
                <w:szCs w:val="16"/>
                <w:lang w:val="fr-FR"/>
              </w:rPr>
              <w:t>Environment</w:t>
            </w:r>
            <w:proofErr w:type="spellEnd"/>
            <w:r w:rsidRPr="007C7CA2">
              <w:rPr>
                <w:sz w:val="16"/>
                <w:szCs w:val="16"/>
                <w:lang w:val="fr-FR"/>
              </w:rPr>
              <w:t>/</w:t>
            </w:r>
            <w:proofErr w:type="gramStart"/>
            <w:r w:rsidRPr="007C7CA2">
              <w:rPr>
                <w:sz w:val="16"/>
                <w:szCs w:val="16"/>
                <w:lang w:val="fr-FR"/>
              </w:rPr>
              <w:t>IRP:</w:t>
            </w:r>
            <w:proofErr w:type="gramEnd"/>
            <w:r w:rsidRPr="007C7CA2">
              <w:rPr>
                <w:sz w:val="16"/>
                <w:szCs w:val="16"/>
                <w:lang w:val="fr-FR"/>
              </w:rPr>
              <w:t xml:space="preserve"> </w:t>
            </w:r>
            <w:hyperlink w:history="1" r:id="rId19">
              <w:r w:rsidRPr="007C7CA2">
                <w:rPr>
                  <w:rStyle w:val="Hyperlink"/>
                  <w:sz w:val="16"/>
                  <w:szCs w:val="16"/>
                  <w:lang w:val="fr-FR"/>
                </w:rPr>
                <w:t>http://uneplive.unep.org/material</w:t>
              </w:r>
            </w:hyperlink>
          </w:p>
          <w:p w:rsidRPr="00412F5F" w:rsidR="00BF1B84" w:rsidP="007C7CA2" w:rsidRDefault="00BF1B84" w14:paraId="17BA09D9" w14:textId="634E5B25">
            <w:pPr>
              <w:pStyle w:val="TableCell"/>
              <w:keepNext w:val="0"/>
              <w:jc w:val="left"/>
              <w:rPr>
                <w:sz w:val="16"/>
                <w:szCs w:val="16"/>
                <w:lang w:val="es-419"/>
              </w:rPr>
            </w:pPr>
            <w:r w:rsidRPr="00412F5F">
              <w:rPr>
                <w:sz w:val="16"/>
                <w:szCs w:val="16"/>
                <w:lang w:val="es-419"/>
              </w:rPr>
              <w:t xml:space="preserve">OECD: </w:t>
            </w:r>
            <w:hyperlink w:history="1" r:id="rId20">
              <w:r w:rsidRPr="00412F5F" w:rsidR="0096443D">
                <w:rPr>
                  <w:rStyle w:val="Hyperlink"/>
                  <w:sz w:val="16"/>
                  <w:szCs w:val="16"/>
                  <w:lang w:val="es-419"/>
                </w:rPr>
                <w:t>https://stats.oecd.org/Index.aspx?DataSetCode=MATERIAL_RESOURCES</w:t>
              </w:r>
            </w:hyperlink>
          </w:p>
          <w:p w:rsidRPr="007C7CA2" w:rsidR="00BF1B84" w:rsidP="007C7CA2" w:rsidRDefault="00BF1B84" w14:paraId="17BA09DA" w14:textId="77777777">
            <w:pPr>
              <w:pStyle w:val="TableCell"/>
              <w:keepNext w:val="0"/>
              <w:jc w:val="left"/>
              <w:rPr>
                <w:sz w:val="16"/>
                <w:szCs w:val="16"/>
                <w:lang w:val="fr-FR"/>
              </w:rPr>
            </w:pPr>
            <w:proofErr w:type="gramStart"/>
            <w:r w:rsidRPr="007C7CA2">
              <w:rPr>
                <w:sz w:val="16"/>
                <w:szCs w:val="16"/>
                <w:lang w:val="fr-FR"/>
              </w:rPr>
              <w:t>Eurostat:</w:t>
            </w:r>
            <w:proofErr w:type="gramEnd"/>
            <w:r w:rsidRPr="007C7CA2">
              <w:rPr>
                <w:sz w:val="16"/>
                <w:szCs w:val="16"/>
                <w:lang w:val="fr-FR"/>
              </w:rPr>
              <w:t xml:space="preserve"> </w:t>
            </w:r>
            <w:hyperlink w:history="1" r:id="rId21">
              <w:r w:rsidRPr="007C7CA2">
                <w:rPr>
                  <w:rStyle w:val="Hyperlink"/>
                  <w:sz w:val="16"/>
                  <w:szCs w:val="16"/>
                  <w:lang w:val="fr-FR"/>
                </w:rPr>
                <w:t>http://ec.europa.eu/eurostat/data/database</w:t>
              </w:r>
            </w:hyperlink>
            <w:r w:rsidRPr="007C7CA2">
              <w:rPr>
                <w:sz w:val="16"/>
                <w:szCs w:val="16"/>
                <w:lang w:val="fr-FR"/>
              </w:rPr>
              <w:t xml:space="preserve"> , tables</w:t>
            </w:r>
          </w:p>
          <w:p w:rsidRPr="006901F8" w:rsidR="00BF1B84" w:rsidP="007C7CA2" w:rsidRDefault="00BF1B84" w14:paraId="17BA09DC" w14:textId="59D82B22">
            <w:pPr>
              <w:pStyle w:val="TableCell"/>
              <w:keepNext w:val="0"/>
              <w:jc w:val="left"/>
              <w:rPr>
                <w:sz w:val="16"/>
                <w:szCs w:val="16"/>
                <w:lang w:val="fr-FR"/>
              </w:rPr>
            </w:pPr>
            <w:proofErr w:type="spellStart"/>
            <w:proofErr w:type="gramStart"/>
            <w:r w:rsidRPr="007C7CA2">
              <w:rPr>
                <w:rStyle w:val="leaf"/>
                <w:sz w:val="16"/>
                <w:szCs w:val="16"/>
                <w:lang w:val="fr-FR"/>
              </w:rPr>
              <w:t>env</w:t>
            </w:r>
            <w:proofErr w:type="gramEnd"/>
            <w:r w:rsidRPr="007C7CA2">
              <w:rPr>
                <w:rStyle w:val="leaf"/>
                <w:sz w:val="16"/>
                <w:szCs w:val="16"/>
                <w:lang w:val="fr-FR"/>
              </w:rPr>
              <w:t>_ac_mfa</w:t>
            </w:r>
            <w:proofErr w:type="spellEnd"/>
            <w:r w:rsidRPr="007C7CA2">
              <w:rPr>
                <w:rStyle w:val="leaf"/>
                <w:sz w:val="16"/>
                <w:szCs w:val="16"/>
                <w:lang w:val="fr-FR"/>
              </w:rPr>
              <w:t xml:space="preserve">, </w:t>
            </w:r>
            <w:proofErr w:type="spellStart"/>
            <w:r w:rsidRPr="007C7CA2">
              <w:rPr>
                <w:rStyle w:val="leaf"/>
                <w:sz w:val="16"/>
                <w:szCs w:val="16"/>
                <w:lang w:val="fr-FR"/>
              </w:rPr>
              <w:t>env_ac_mfadpo</w:t>
            </w:r>
            <w:proofErr w:type="spellEnd"/>
            <w:r w:rsidRPr="007C7CA2">
              <w:rPr>
                <w:rStyle w:val="leaf"/>
                <w:sz w:val="16"/>
                <w:szCs w:val="16"/>
                <w:lang w:val="fr-FR"/>
              </w:rPr>
              <w:t xml:space="preserve">, </w:t>
            </w:r>
            <w:proofErr w:type="spellStart"/>
            <w:r w:rsidRPr="007C7CA2">
              <w:rPr>
                <w:rStyle w:val="leaf"/>
                <w:sz w:val="16"/>
                <w:szCs w:val="16"/>
                <w:lang w:val="fr-FR"/>
              </w:rPr>
              <w:t>env_ac_mfabi</w:t>
            </w:r>
            <w:proofErr w:type="spellEnd"/>
            <w:r w:rsidRPr="007C7CA2">
              <w:rPr>
                <w:rStyle w:val="leaf"/>
                <w:sz w:val="16"/>
                <w:szCs w:val="16"/>
                <w:lang w:val="fr-FR"/>
              </w:rPr>
              <w:t xml:space="preserve">, </w:t>
            </w:r>
            <w:proofErr w:type="spellStart"/>
            <w:r w:rsidRPr="007C7CA2">
              <w:rPr>
                <w:rStyle w:val="leaf"/>
                <w:sz w:val="16"/>
                <w:szCs w:val="16"/>
                <w:lang w:val="fr-FR"/>
              </w:rPr>
              <w:t>env_ac_mfain</w:t>
            </w:r>
            <w:proofErr w:type="spellEnd"/>
            <w:r w:rsidRPr="007C7CA2">
              <w:rPr>
                <w:rStyle w:val="leaf"/>
                <w:sz w:val="16"/>
                <w:szCs w:val="16"/>
                <w:lang w:val="fr-FR"/>
              </w:rPr>
              <w:t xml:space="preserve">, </w:t>
            </w:r>
            <w:proofErr w:type="spellStart"/>
            <w:r w:rsidRPr="007C7CA2">
              <w:rPr>
                <w:rStyle w:val="leaf"/>
                <w:sz w:val="16"/>
                <w:szCs w:val="16"/>
                <w:lang w:val="fr-FR"/>
              </w:rPr>
              <w:t>env_ac_rme</w:t>
            </w:r>
            <w:proofErr w:type="spellEnd"/>
            <w:r w:rsidRPr="007C7CA2">
              <w:rPr>
                <w:rStyle w:val="leaf"/>
                <w:sz w:val="16"/>
                <w:szCs w:val="16"/>
                <w:lang w:val="fr-FR"/>
              </w:rPr>
              <w:t xml:space="preserve">, </w:t>
            </w:r>
            <w:proofErr w:type="spellStart"/>
            <w:r w:rsidRPr="006901F8">
              <w:rPr>
                <w:rStyle w:val="leaf"/>
                <w:sz w:val="16"/>
                <w:szCs w:val="16"/>
                <w:lang w:val="fr-FR"/>
              </w:rPr>
              <w:t>env_ac_rmefd</w:t>
            </w:r>
            <w:proofErr w:type="spellEnd"/>
            <w:r w:rsidRPr="006901F8">
              <w:rPr>
                <w:rStyle w:val="leaf"/>
                <w:sz w:val="16"/>
                <w:szCs w:val="16"/>
                <w:lang w:val="fr-FR"/>
              </w:rPr>
              <w:t xml:space="preserve"> </w:t>
            </w:r>
            <w:r w:rsidRPr="006901F8" w:rsidR="007C7CA2">
              <w:rPr>
                <w:rStyle w:val="leaf"/>
                <w:sz w:val="16"/>
                <w:szCs w:val="16"/>
                <w:lang w:val="fr-FR"/>
              </w:rPr>
              <w:t>&amp;</w:t>
            </w:r>
            <w:r w:rsidRPr="006901F8">
              <w:rPr>
                <w:rStyle w:val="leaf"/>
                <w:sz w:val="16"/>
                <w:szCs w:val="16"/>
                <w:lang w:val="fr-FR"/>
              </w:rPr>
              <w:t xml:space="preserve"> </w:t>
            </w:r>
            <w:proofErr w:type="spellStart"/>
            <w:r w:rsidRPr="006901F8">
              <w:rPr>
                <w:rStyle w:val="leaf"/>
                <w:sz w:val="16"/>
                <w:szCs w:val="16"/>
                <w:lang w:val="fr-FR"/>
              </w:rPr>
              <w:t>others</w:t>
            </w:r>
            <w:proofErr w:type="spellEnd"/>
            <w:r w:rsidRPr="006901F8">
              <w:rPr>
                <w:rStyle w:val="leaf"/>
                <w:sz w:val="16"/>
                <w:szCs w:val="16"/>
                <w:lang w:val="fr-FR"/>
              </w:rPr>
              <w:t xml:space="preserve"> for </w:t>
            </w:r>
            <w:proofErr w:type="spellStart"/>
            <w:r w:rsidRPr="006901F8">
              <w:rPr>
                <w:rStyle w:val="leaf"/>
                <w:sz w:val="16"/>
                <w:szCs w:val="16"/>
                <w:lang w:val="fr-FR"/>
              </w:rPr>
              <w:t>derived</w:t>
            </w:r>
            <w:proofErr w:type="spellEnd"/>
            <w:r w:rsidRPr="006901F8">
              <w:rPr>
                <w:rStyle w:val="leaf"/>
                <w:sz w:val="16"/>
                <w:szCs w:val="16"/>
                <w:lang w:val="fr-FR"/>
              </w:rPr>
              <w:t xml:space="preserve"> </w:t>
            </w:r>
            <w:proofErr w:type="spellStart"/>
            <w:r w:rsidRPr="006901F8">
              <w:rPr>
                <w:rStyle w:val="leaf"/>
                <w:sz w:val="16"/>
                <w:szCs w:val="16"/>
                <w:lang w:val="fr-FR"/>
              </w:rPr>
              <w:t>indicators</w:t>
            </w:r>
            <w:proofErr w:type="spellEnd"/>
          </w:p>
        </w:tc>
        <w:tc>
          <w:tcPr>
            <w:tcW w:w="660" w:type="pct"/>
            <w:tcBorders>
              <w:top w:val="single" w:color="auto" w:sz="4" w:space="0"/>
              <w:left w:val="nil"/>
              <w:bottom w:val="single" w:color="auto" w:sz="4" w:space="0"/>
              <w:right w:val="nil"/>
            </w:tcBorders>
            <w:vAlign w:val="center"/>
            <w:hideMark/>
          </w:tcPr>
          <w:p w:rsidRPr="00766877" w:rsidR="00BF1B84" w:rsidP="007C7CA2" w:rsidRDefault="00BF1B84" w14:paraId="17BA09DE" w14:textId="06C526A8">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u w:val="single"/>
                <w:lang w:val="en-GB"/>
              </w:rPr>
              <w:t>Production-based:</w:t>
            </w:r>
            <w:r w:rsidR="007C7CA2">
              <w:rPr>
                <w:sz w:val="16"/>
                <w:u w:val="single"/>
                <w:lang w:val="en-GB"/>
              </w:rPr>
              <w:t xml:space="preserve"> </w:t>
            </w:r>
            <w:r w:rsidRPr="001A0B9D">
              <w:rPr>
                <w:sz w:val="16"/>
                <w:lang w:val="en-GB"/>
              </w:rPr>
              <w:t>Mature</w:t>
            </w:r>
          </w:p>
          <w:p w:rsidRPr="00766877" w:rsidR="00BF1B84" w:rsidP="007C7CA2" w:rsidRDefault="00BF1B84" w14:paraId="17BA09DF" w14:textId="4D4B0426">
            <w:pPr>
              <w:pStyle w:val="TableCell"/>
              <w:keepNext w:val="0"/>
              <w:ind w:left="113"/>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4E6C90B6">
              <w:rPr>
                <w:sz w:val="16"/>
                <w:szCs w:val="16"/>
                <w:lang w:val="en-GB"/>
              </w:rPr>
              <w:t>Based on</w:t>
            </w:r>
            <w:r w:rsidR="004E7C26">
              <w:rPr>
                <w:sz w:val="16"/>
                <w:szCs w:val="16"/>
                <w:lang w:val="en-GB"/>
              </w:rPr>
              <w:t xml:space="preserve"> </w:t>
            </w:r>
            <w:hyperlink w:history="1" r:id="rId22">
              <w:r w:rsidRPr="004E7C26" w:rsidR="004E7C26">
                <w:rPr>
                  <w:rStyle w:val="Hyperlink"/>
                  <w:sz w:val="16"/>
                  <w:szCs w:val="16"/>
                  <w:lang w:val="en-GB"/>
                </w:rPr>
                <w:t>UN Environment global manual</w:t>
              </w:r>
            </w:hyperlink>
            <w:r w:rsidRPr="4E6C90B6" w:rsidR="004E7C26">
              <w:rPr>
                <w:sz w:val="16"/>
                <w:szCs w:val="16"/>
                <w:lang w:val="en-GB"/>
              </w:rPr>
              <w:t xml:space="preserve"> (released in June 2021)</w:t>
            </w:r>
            <w:r w:rsidR="004E7C26">
              <w:rPr>
                <w:sz w:val="16"/>
                <w:szCs w:val="16"/>
                <w:lang w:val="en-GB"/>
              </w:rPr>
              <w:t xml:space="preserve"> and</w:t>
            </w:r>
            <w:r w:rsidRPr="4E6C90B6">
              <w:rPr>
                <w:sz w:val="16"/>
                <w:szCs w:val="16"/>
                <w:lang w:val="en-GB"/>
              </w:rPr>
              <w:t xml:space="preserve"> </w:t>
            </w:r>
            <w:hyperlink w:history="1" r:id="rId23">
              <w:r w:rsidRPr="004E7C26">
                <w:rPr>
                  <w:rStyle w:val="Hyperlink"/>
                  <w:sz w:val="16"/>
                  <w:szCs w:val="16"/>
                  <w:lang w:val="en-GB"/>
                </w:rPr>
                <w:t>Eurostat manu</w:t>
              </w:r>
              <w:r w:rsidRPr="004E7C26" w:rsidR="3ED678B7">
                <w:rPr>
                  <w:rStyle w:val="Hyperlink"/>
                  <w:sz w:val="16"/>
                  <w:szCs w:val="16"/>
                  <w:lang w:val="en-GB"/>
                </w:rPr>
                <w:t>a</w:t>
              </w:r>
              <w:r w:rsidRPr="004E7C26">
                <w:rPr>
                  <w:rStyle w:val="Hyperlink"/>
                  <w:sz w:val="16"/>
                  <w:szCs w:val="16"/>
                  <w:lang w:val="en-GB"/>
                </w:rPr>
                <w:t>l</w:t>
              </w:r>
            </w:hyperlink>
            <w:r w:rsidR="004E7C26">
              <w:rPr>
                <w:sz w:val="16"/>
                <w:szCs w:val="16"/>
                <w:lang w:val="en-GB"/>
              </w:rPr>
              <w:t xml:space="preserve"> (2001)</w:t>
            </w:r>
          </w:p>
          <w:p w:rsidRPr="00766877" w:rsidR="00BF1B84" w:rsidP="007C7CA2" w:rsidRDefault="00BF1B84" w14:paraId="17BA09E0"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u w:val="single"/>
                <w:lang w:val="en-GB"/>
              </w:rPr>
              <w:t>Demand-based:</w:t>
            </w:r>
          </w:p>
          <w:p w:rsidRPr="00766877" w:rsidR="00BF1B84" w:rsidP="007C7CA2" w:rsidRDefault="009042A2" w14:paraId="17BA09E1" w14:textId="5005F542">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Pr>
                <w:sz w:val="16"/>
                <w:lang w:val="en-GB"/>
              </w:rPr>
              <w:t>Refined methodology u</w:t>
            </w:r>
            <w:r w:rsidRPr="001A0B9D" w:rsidR="00BF1B84">
              <w:rPr>
                <w:sz w:val="16"/>
                <w:lang w:val="en-GB"/>
              </w:rPr>
              <w:t>nder development</w:t>
            </w:r>
          </w:p>
          <w:p w:rsidR="00BF1B84" w:rsidP="007C7CA2" w:rsidRDefault="00BF1B84" w14:paraId="3A7B9E60" w14:textId="77777777">
            <w:pPr>
              <w:pStyle w:val="TableCell"/>
              <w:keepNext w:val="0"/>
              <w:ind w:left="113"/>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(OECD with Eurostat and UN Environment-IRP)</w:t>
            </w:r>
          </w:p>
          <w:p w:rsidRPr="00766877" w:rsidR="00373C7D" w:rsidP="007C7CA2" w:rsidRDefault="00373C7D" w14:paraId="17BA09E2" w14:textId="5EFA6C9A">
            <w:pPr>
              <w:pStyle w:val="TableCell"/>
              <w:keepNext w:val="0"/>
              <w:ind w:left="113"/>
              <w:jc w:val="left"/>
              <w:cnfStyle w:val="000000000000" w:firstRow="0" w:lastRow="0" w:firstColumn="0" w:lastColumn="0" w:oddVBand="0" w:evenVBand="0" w:oddHBand="0" w:evenHBand="0" w:firstRowFirstColumn="0" w:firstRowLastColumn="0" w:lastRowFirstColumn="0" w:lastRowLastColumn="0"/>
              <w:rPr>
                <w:sz w:val="16"/>
                <w:lang w:val="en-GB"/>
              </w:rPr>
            </w:pPr>
            <w:r>
              <w:rPr>
                <w:sz w:val="16"/>
                <w:lang w:val="en-GB"/>
              </w:rPr>
              <w:t xml:space="preserve">Eurostat estimating material </w:t>
            </w:r>
            <w:proofErr w:type="spellStart"/>
            <w:r>
              <w:rPr>
                <w:sz w:val="16"/>
                <w:lang w:val="en-GB"/>
              </w:rPr>
              <w:t>foortprints</w:t>
            </w:r>
            <w:proofErr w:type="spellEnd"/>
            <w:r>
              <w:rPr>
                <w:sz w:val="16"/>
                <w:lang w:val="en-GB"/>
              </w:rPr>
              <w:t xml:space="preserve"> for all EU countries</w:t>
            </w:r>
          </w:p>
        </w:tc>
      </w:tr>
      <w:tr w:rsidRPr="003F552A" w:rsidR="006A0CFE" w:rsidTr="63758C50" w14:paraId="17BA09F1" w14:textId="77777777">
        <w:trPr>
          <w:jc w:val="center"/>
        </w:trPr>
        <w:tc>
          <w:tcPr>
            <w:cnfStyle w:val="000010000000" w:firstRow="0" w:lastRow="0" w:firstColumn="0" w:lastColumn="0" w:oddVBand="1" w:evenVBand="0" w:oddHBand="0" w:evenHBand="0" w:firstRowFirstColumn="0" w:firstRowLastColumn="0" w:lastRowFirstColumn="0" w:lastRowLastColumn="0"/>
            <w:tcW w:w="519" w:type="pct"/>
            <w:tcBorders>
              <w:top w:val="single" w:color="auto" w:sz="4" w:space="0"/>
              <w:bottom w:val="single" w:color="auto" w:sz="4" w:space="0"/>
            </w:tcBorders>
            <w:vAlign w:val="center"/>
            <w:hideMark/>
          </w:tcPr>
          <w:p w:rsidRPr="003F552A" w:rsidR="00BF1B84" w:rsidP="007C7CA2" w:rsidRDefault="00BF1B84" w14:paraId="17BA09E4" w14:textId="77777777">
            <w:pPr>
              <w:pStyle w:val="TableRow"/>
              <w:keepNext w:val="0"/>
              <w:rPr>
                <w:b/>
                <w:sz w:val="16"/>
                <w:lang w:val="en-GB"/>
              </w:rPr>
            </w:pPr>
            <w:r w:rsidRPr="003F552A">
              <w:rPr>
                <w:b/>
                <w:sz w:val="16"/>
                <w:lang w:val="en-GB"/>
              </w:rPr>
              <w:t>Land (cover)</w:t>
            </w:r>
          </w:p>
        </w:tc>
        <w:tc>
          <w:tcPr>
            <w:tcW w:w="311" w:type="pct"/>
            <w:tcBorders>
              <w:top w:val="single" w:color="auto" w:sz="4" w:space="0"/>
              <w:left w:val="nil"/>
              <w:bottom w:val="single" w:color="auto" w:sz="4" w:space="0"/>
              <w:right w:val="nil"/>
            </w:tcBorders>
            <w:vAlign w:val="center"/>
            <w:hideMark/>
          </w:tcPr>
          <w:p w:rsidRPr="00766877" w:rsidR="00BF1B84" w:rsidP="007C7CA2" w:rsidRDefault="00BF1B84" w14:paraId="17BA09E5"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FAO,</w:t>
            </w:r>
          </w:p>
          <w:p w:rsidR="00BF1B84" w:rsidP="007C7CA2" w:rsidRDefault="00BF1B84" w14:paraId="17BA09E6" w14:textId="70F4E262">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1A0B9D">
              <w:rPr>
                <w:sz w:val="16"/>
                <w:lang w:val="en-GB"/>
              </w:rPr>
              <w:t>OECD</w:t>
            </w:r>
          </w:p>
          <w:p w:rsidRPr="00766877" w:rsidR="006A6A97" w:rsidP="007C7CA2" w:rsidRDefault="006A6A97" w14:paraId="7D9DC7A1" w14:textId="2C7FE3D9">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Pr>
                <w:sz w:val="16"/>
                <w:lang w:val="en-GB"/>
              </w:rPr>
              <w:t>UNSD ARIES</w:t>
            </w:r>
          </w:p>
          <w:p w:rsidRPr="00766877" w:rsidR="00BF1B84" w:rsidP="007C7CA2" w:rsidRDefault="00BF1B84" w14:paraId="17BA09E7"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highlight w:val="yellow"/>
                <w:lang w:val="en-GB"/>
              </w:rPr>
            </w:pPr>
            <w:r w:rsidRPr="001A0B9D">
              <w:rPr>
                <w:sz w:val="16"/>
                <w:lang w:val="en-GB"/>
              </w:rPr>
              <w:t>(EEA, JRC)</w:t>
            </w:r>
          </w:p>
        </w:tc>
        <w:tc>
          <w:tcPr>
            <w:cnfStyle w:val="000010000000" w:firstRow="0" w:lastRow="0" w:firstColumn="0" w:lastColumn="0" w:oddVBand="1" w:evenVBand="0" w:oddHBand="0" w:evenHBand="0" w:firstRowFirstColumn="0" w:firstRowLastColumn="0" w:lastRowFirstColumn="0" w:lastRowLastColumn="0"/>
            <w:tcW w:w="444" w:type="pct"/>
            <w:tcBorders>
              <w:top w:val="single" w:color="auto" w:sz="4" w:space="0"/>
              <w:bottom w:val="single" w:color="auto" w:sz="4" w:space="0"/>
            </w:tcBorders>
            <w:hideMark/>
          </w:tcPr>
          <w:p w:rsidRPr="00766877" w:rsidR="00BF1B84" w:rsidP="007C7CA2" w:rsidRDefault="00BF1B84" w14:paraId="17BA09E8" w14:textId="77777777">
            <w:pPr>
              <w:pStyle w:val="TableCell"/>
              <w:keepNext w:val="0"/>
              <w:jc w:val="left"/>
              <w:rPr>
                <w:sz w:val="16"/>
                <w:lang w:val="en-GB"/>
              </w:rPr>
            </w:pPr>
            <w:r w:rsidRPr="001A0B9D">
              <w:rPr>
                <w:sz w:val="16"/>
                <w:lang w:val="en-GB"/>
              </w:rPr>
              <w:t>Global</w:t>
            </w:r>
          </w:p>
          <w:p w:rsidRPr="00766877" w:rsidR="00BF1B84" w:rsidP="007C7CA2" w:rsidRDefault="00BF1B84" w14:paraId="17BA09E9" w14:textId="77777777">
            <w:pPr>
              <w:pStyle w:val="TableCell"/>
              <w:keepNext w:val="0"/>
              <w:jc w:val="left"/>
              <w:rPr>
                <w:sz w:val="16"/>
                <w:lang w:val="en-GB"/>
              </w:rPr>
            </w:pPr>
            <w:r w:rsidRPr="001A0B9D">
              <w:rPr>
                <w:sz w:val="16"/>
                <w:lang w:val="en-GB"/>
              </w:rPr>
              <w:t>(</w:t>
            </w:r>
            <w:proofErr w:type="gramStart"/>
            <w:r w:rsidRPr="001A0B9D">
              <w:rPr>
                <w:sz w:val="16"/>
                <w:lang w:val="en-GB"/>
              </w:rPr>
              <w:t>countries</w:t>
            </w:r>
            <w:proofErr w:type="gramEnd"/>
            <w:r w:rsidRPr="001A0B9D">
              <w:rPr>
                <w:sz w:val="16"/>
                <w:lang w:val="en-GB"/>
              </w:rPr>
              <w:t>, macro-regions, metropolitan areas)</w:t>
            </w:r>
          </w:p>
        </w:tc>
        <w:tc>
          <w:tcPr>
            <w:tcW w:w="465" w:type="pct"/>
            <w:tcBorders>
              <w:top w:val="single" w:color="auto" w:sz="4" w:space="0"/>
              <w:left w:val="nil"/>
              <w:bottom w:val="single" w:color="auto" w:sz="4" w:space="0"/>
              <w:right w:val="nil"/>
            </w:tcBorders>
            <w:hideMark/>
          </w:tcPr>
          <w:p w:rsidRPr="00766877" w:rsidR="00BF1B84" w:rsidP="007C7CA2" w:rsidRDefault="00BF1B84" w14:paraId="17BA09EA"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highlight w:val="yellow"/>
                <w:lang w:val="en-GB"/>
              </w:rPr>
            </w:pPr>
            <w:r w:rsidRPr="001A0B9D">
              <w:rPr>
                <w:sz w:val="16"/>
                <w:lang w:val="en-GB"/>
              </w:rPr>
              <w:t>1992-2019</w:t>
            </w:r>
          </w:p>
        </w:tc>
        <w:tc>
          <w:tcPr>
            <w:cnfStyle w:val="000010000000" w:firstRow="0" w:lastRow="0" w:firstColumn="0" w:lastColumn="0" w:oddVBand="1" w:evenVBand="0" w:oddHBand="0" w:evenHBand="0" w:firstRowFirstColumn="0" w:firstRowLastColumn="0" w:lastRowFirstColumn="0" w:lastRowLastColumn="0"/>
            <w:tcW w:w="1062" w:type="pct"/>
            <w:tcBorders>
              <w:top w:val="single" w:color="auto" w:sz="4" w:space="0"/>
              <w:bottom w:val="single" w:color="auto" w:sz="4" w:space="0"/>
            </w:tcBorders>
            <w:hideMark/>
          </w:tcPr>
          <w:p w:rsidRPr="00766877" w:rsidR="00BF1B84" w:rsidP="007C7CA2" w:rsidRDefault="00BF1B84" w14:paraId="17BA09EB" w14:textId="77777777">
            <w:pPr>
              <w:pStyle w:val="TableCell"/>
              <w:keepNext w:val="0"/>
              <w:jc w:val="left"/>
              <w:rPr>
                <w:sz w:val="16"/>
                <w:lang w:val="en-GB"/>
              </w:rPr>
            </w:pPr>
            <w:r w:rsidRPr="001A0B9D">
              <w:rPr>
                <w:sz w:val="16"/>
                <w:lang w:val="en-GB"/>
              </w:rPr>
              <w:t>Land cover classes (SEEA-CF)</w:t>
            </w:r>
          </w:p>
        </w:tc>
        <w:tc>
          <w:tcPr>
            <w:tcW w:w="569" w:type="pct"/>
            <w:tcBorders>
              <w:top w:val="single" w:color="auto" w:sz="4" w:space="0"/>
              <w:left w:val="nil"/>
              <w:bottom w:val="single" w:color="auto" w:sz="4" w:space="0"/>
              <w:right w:val="nil"/>
            </w:tcBorders>
            <w:hideMark/>
          </w:tcPr>
          <w:p w:rsidRPr="00766877" w:rsidR="00BF1B84" w:rsidP="007C7CA2" w:rsidRDefault="00BF1B84" w14:paraId="17BA09EC" w14:textId="659FF30B">
            <w:pPr>
              <w:pStyle w:val="TableCell"/>
              <w:keepNext w:val="0"/>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2BE78345">
              <w:rPr>
                <w:sz w:val="16"/>
                <w:szCs w:val="16"/>
                <w:lang w:val="en-GB"/>
              </w:rPr>
              <w:t xml:space="preserve">ESA and Université </w:t>
            </w:r>
            <w:proofErr w:type="spellStart"/>
            <w:r w:rsidRPr="2BE78345" w:rsidR="65B1096D">
              <w:rPr>
                <w:sz w:val="16"/>
                <w:szCs w:val="16"/>
                <w:lang w:val="en-GB"/>
              </w:rPr>
              <w:t>Catholique</w:t>
            </w:r>
            <w:proofErr w:type="spellEnd"/>
            <w:r w:rsidRPr="2BE78345">
              <w:rPr>
                <w:sz w:val="16"/>
                <w:szCs w:val="16"/>
                <w:lang w:val="en-GB"/>
              </w:rPr>
              <w:t xml:space="preserve"> de Louvain Geomatics – Climate Change Initiative - Land Cover (via FAO and OECD)</w:t>
            </w:r>
          </w:p>
        </w:tc>
        <w:tc>
          <w:tcPr>
            <w:cnfStyle w:val="000010000000" w:firstRow="0" w:lastRow="0" w:firstColumn="0" w:lastColumn="0" w:oddVBand="1" w:evenVBand="0" w:oddHBand="0" w:evenHBand="0" w:firstRowFirstColumn="0" w:firstRowLastColumn="0" w:lastRowFirstColumn="0" w:lastRowLastColumn="0"/>
            <w:tcW w:w="970" w:type="pct"/>
            <w:tcBorders>
              <w:top w:val="single" w:color="auto" w:sz="4" w:space="0"/>
              <w:bottom w:val="single" w:color="auto" w:sz="4" w:space="0"/>
            </w:tcBorders>
            <w:hideMark/>
          </w:tcPr>
          <w:p w:rsidRPr="007C7CA2" w:rsidR="00BF1B84" w:rsidP="007C7CA2" w:rsidRDefault="00BF1B84" w14:paraId="17BA09ED" w14:textId="3228D079">
            <w:pPr>
              <w:pStyle w:val="TableCell"/>
              <w:keepNext w:val="0"/>
              <w:jc w:val="left"/>
              <w:rPr>
                <w:sz w:val="16"/>
                <w:szCs w:val="16"/>
                <w:lang w:val="en-GB"/>
              </w:rPr>
            </w:pPr>
            <w:r w:rsidRPr="007C7CA2">
              <w:rPr>
                <w:sz w:val="16"/>
                <w:szCs w:val="16"/>
                <w:lang w:val="en-GB"/>
              </w:rPr>
              <w:t>FAO:</w:t>
            </w:r>
            <w:r w:rsidRPr="007C7CA2">
              <w:rPr>
                <w:color w:val="003B43"/>
                <w:sz w:val="16"/>
                <w:szCs w:val="16"/>
                <w:lang w:val="en-GB"/>
              </w:rPr>
              <w:t xml:space="preserve"> </w:t>
            </w:r>
            <w:hyperlink w:history="1" w:anchor="home" r:id="rId24">
              <w:r w:rsidRPr="007C7CA2">
                <w:rPr>
                  <w:rStyle w:val="Hyperlink"/>
                  <w:sz w:val="16"/>
                  <w:szCs w:val="16"/>
                  <w:lang w:val="en-GB"/>
                </w:rPr>
                <w:t>http://www.fao.org/faostat/en/#home</w:t>
              </w:r>
            </w:hyperlink>
            <w:r w:rsidRPr="007C7CA2">
              <w:rPr>
                <w:sz w:val="16"/>
                <w:szCs w:val="16"/>
                <w:lang w:val="en-GB"/>
              </w:rPr>
              <w:t xml:space="preserve"> :Land Cover Domain: </w:t>
            </w:r>
            <w:hyperlink w:history="1" w:anchor="data/LC" r:id="rId25">
              <w:r w:rsidRPr="00CB07A0" w:rsidR="007C7CA2">
                <w:rPr>
                  <w:rStyle w:val="Hyperlink"/>
                  <w:sz w:val="16"/>
                  <w:szCs w:val="16"/>
                </w:rPr>
                <w:t>http://www.fao.org/faostat/en/#data/LC</w:t>
              </w:r>
            </w:hyperlink>
            <w:r w:rsidR="007C7CA2">
              <w:rPr>
                <w:sz w:val="16"/>
                <w:szCs w:val="16"/>
                <w:lang w:val="en-GB"/>
              </w:rPr>
              <w:t xml:space="preserve"> </w:t>
            </w:r>
          </w:p>
          <w:p w:rsidRPr="00412F5F" w:rsidR="00BF1B84" w:rsidP="007C7CA2" w:rsidRDefault="00BF1B84" w14:paraId="17BA09EE" w14:textId="77777777">
            <w:pPr>
              <w:pStyle w:val="TableCell"/>
              <w:keepNext w:val="0"/>
              <w:jc w:val="left"/>
              <w:rPr>
                <w:sz w:val="16"/>
                <w:szCs w:val="16"/>
                <w:lang w:val="es-419"/>
              </w:rPr>
            </w:pPr>
            <w:r w:rsidRPr="00412F5F">
              <w:rPr>
                <w:sz w:val="16"/>
                <w:szCs w:val="16"/>
                <w:lang w:val="es-419"/>
              </w:rPr>
              <w:t xml:space="preserve">OECD: </w:t>
            </w:r>
            <w:hyperlink w:history="1" r:id="rId26">
              <w:r w:rsidRPr="00412F5F">
                <w:rPr>
                  <w:rStyle w:val="Hyperlink"/>
                  <w:sz w:val="16"/>
                  <w:szCs w:val="16"/>
                  <w:lang w:val="es-419"/>
                </w:rPr>
                <w:t>http://stats.oecd.org/Index.aspx?DataSetCode=LAND_COVER</w:t>
              </w:r>
            </w:hyperlink>
            <w:r w:rsidRPr="00412F5F">
              <w:rPr>
                <w:sz w:val="16"/>
                <w:szCs w:val="16"/>
                <w:lang w:val="es-419"/>
              </w:rPr>
              <w:t xml:space="preserve"> </w:t>
            </w:r>
          </w:p>
          <w:p w:rsidRPr="00412F5F" w:rsidR="00E00463" w:rsidP="007C7CA2" w:rsidRDefault="0089620C" w14:paraId="17BA09EF" w14:textId="7A93E653">
            <w:pPr>
              <w:pStyle w:val="TableCell"/>
              <w:keepNext w:val="0"/>
              <w:jc w:val="left"/>
              <w:rPr>
                <w:sz w:val="16"/>
                <w:szCs w:val="16"/>
                <w:lang w:val="es-419"/>
              </w:rPr>
            </w:pPr>
            <w:hyperlink w:history="1" r:id="rId27">
              <w:r w:rsidRPr="00412F5F" w:rsidR="008F15C9">
                <w:rPr>
                  <w:rStyle w:val="Hyperlink"/>
                  <w:sz w:val="16"/>
                  <w:szCs w:val="16"/>
                  <w:lang w:val="es-419"/>
                </w:rPr>
                <w:t>https://doi.org/10.1787/72a9e331-en</w:t>
              </w:r>
            </w:hyperlink>
          </w:p>
        </w:tc>
        <w:tc>
          <w:tcPr>
            <w:tcW w:w="660" w:type="pct"/>
            <w:tcBorders>
              <w:top w:val="single" w:color="auto" w:sz="4" w:space="0"/>
              <w:left w:val="nil"/>
              <w:bottom w:val="single" w:color="auto" w:sz="4" w:space="0"/>
              <w:right w:val="nil"/>
            </w:tcBorders>
            <w:hideMark/>
          </w:tcPr>
          <w:p w:rsidR="00CB2A0D" w:rsidP="007C7CA2" w:rsidRDefault="00CB2A0D" w14:paraId="1F3E9E8C"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Pr>
                <w:sz w:val="16"/>
                <w:lang w:val="en-GB"/>
              </w:rPr>
              <w:t>Completed, not (yet) endorsed by UNCEEA</w:t>
            </w:r>
          </w:p>
          <w:p w:rsidRPr="00766877" w:rsidR="00BF1B84" w:rsidP="007C7CA2" w:rsidRDefault="00CB2A0D" w14:paraId="17BA09F0" w14:textId="3A44880C">
            <w:pPr>
              <w:pStyle w:val="TableCell"/>
              <w:keepNext w:val="0"/>
              <w:jc w:val="left"/>
              <w:cnfStyle w:val="000000000000" w:firstRow="0" w:lastRow="0" w:firstColumn="0" w:lastColumn="0" w:oddVBand="0" w:evenVBand="0" w:oddHBand="0" w:evenHBand="0" w:firstRowFirstColumn="0" w:firstRowLastColumn="0" w:lastRowFirstColumn="0" w:lastRowLastColumn="0"/>
              <w:rPr>
                <w:sz w:val="16"/>
                <w:lang w:val="en-GB"/>
              </w:rPr>
            </w:pPr>
            <w:r w:rsidRPr="00CB2A0D">
              <w:rPr>
                <w:sz w:val="16"/>
                <w:lang w:val="en-GB"/>
              </w:rPr>
              <w:t>http://fenixservices.fao.org/faostat/static/documents/LC/LC_e_2020.pdf</w:t>
            </w:r>
          </w:p>
        </w:tc>
      </w:tr>
      <w:tr w:rsidRPr="003F552A" w:rsidR="006A0CFE" w:rsidTr="63758C50" w14:paraId="17BA09FF" w14:textId="77777777">
        <w:trPr>
          <w:jc w:val="center"/>
        </w:trPr>
        <w:tc>
          <w:tcPr>
            <w:cnfStyle w:val="000010000000" w:firstRow="0" w:lastRow="0" w:firstColumn="0" w:lastColumn="0" w:oddVBand="1" w:evenVBand="0" w:oddHBand="0" w:evenHBand="0" w:firstRowFirstColumn="0" w:firstRowLastColumn="0" w:lastRowFirstColumn="0" w:lastRowLastColumn="0"/>
            <w:tcW w:w="519" w:type="pct"/>
            <w:tcBorders>
              <w:top w:val="single" w:color="auto" w:sz="4" w:space="0"/>
              <w:bottom w:val="single" w:color="auto" w:sz="12" w:space="0"/>
            </w:tcBorders>
            <w:vAlign w:val="center"/>
            <w:hideMark/>
          </w:tcPr>
          <w:p w:rsidRPr="003F552A" w:rsidR="00BF1B84" w:rsidP="007C7CA2" w:rsidRDefault="00BF1B84" w14:paraId="17BA09F2" w14:textId="77777777">
            <w:pPr>
              <w:pStyle w:val="TableRow"/>
              <w:keepNext w:val="0"/>
              <w:rPr>
                <w:b/>
                <w:i/>
                <w:sz w:val="16"/>
                <w:lang w:val="en-GB"/>
              </w:rPr>
            </w:pPr>
            <w:r w:rsidRPr="003F552A">
              <w:rPr>
                <w:b/>
                <w:i/>
                <w:sz w:val="16"/>
                <w:lang w:val="en-GB"/>
              </w:rPr>
              <w:lastRenderedPageBreak/>
              <w:t>Water (resources, use)</w:t>
            </w:r>
          </w:p>
        </w:tc>
        <w:tc>
          <w:tcPr>
            <w:tcW w:w="311" w:type="pct"/>
            <w:tcBorders>
              <w:top w:val="single" w:color="auto" w:sz="4" w:space="0"/>
              <w:left w:val="nil"/>
              <w:bottom w:val="single" w:color="auto" w:sz="12" w:space="0"/>
              <w:right w:val="nil"/>
            </w:tcBorders>
            <w:vAlign w:val="center"/>
            <w:hideMark/>
          </w:tcPr>
          <w:p w:rsidRPr="006E6EF2" w:rsidR="00BF1B84" w:rsidP="007C7CA2" w:rsidRDefault="00BF1B84" w14:paraId="17BA09F3"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i/>
                <w:sz w:val="16"/>
                <w:lang w:val="fr-FR"/>
              </w:rPr>
            </w:pPr>
            <w:r w:rsidRPr="006E6EF2">
              <w:rPr>
                <w:i/>
                <w:sz w:val="16"/>
                <w:lang w:val="fr-FR"/>
              </w:rPr>
              <w:t>Eurostat, OECD,</w:t>
            </w:r>
          </w:p>
          <w:p w:rsidRPr="006E6EF2" w:rsidR="00BF1B84" w:rsidP="007C7CA2" w:rsidRDefault="00BF1B84" w14:paraId="17BA09F4"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i/>
                <w:sz w:val="16"/>
                <w:lang w:val="fr-FR"/>
              </w:rPr>
            </w:pPr>
            <w:r w:rsidRPr="006E6EF2">
              <w:rPr>
                <w:i/>
                <w:sz w:val="16"/>
                <w:lang w:val="fr-FR"/>
              </w:rPr>
              <w:t>UNSD, UN Env.,</w:t>
            </w:r>
          </w:p>
          <w:p w:rsidRPr="00766877" w:rsidR="00BF1B84" w:rsidP="007C7CA2" w:rsidRDefault="00BF1B84" w14:paraId="17BA09F5"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i/>
                <w:sz w:val="16"/>
                <w:highlight w:val="yellow"/>
                <w:lang w:val="en-GB"/>
              </w:rPr>
            </w:pPr>
            <w:r w:rsidRPr="001A0B9D">
              <w:rPr>
                <w:i/>
                <w:sz w:val="16"/>
                <w:lang w:val="en-GB"/>
              </w:rPr>
              <w:t>FAO</w:t>
            </w:r>
          </w:p>
        </w:tc>
        <w:tc>
          <w:tcPr>
            <w:cnfStyle w:val="000010000000" w:firstRow="0" w:lastRow="0" w:firstColumn="0" w:lastColumn="0" w:oddVBand="1" w:evenVBand="0" w:oddHBand="0" w:evenHBand="0" w:firstRowFirstColumn="0" w:firstRowLastColumn="0" w:lastRowFirstColumn="0" w:lastRowLastColumn="0"/>
            <w:tcW w:w="444" w:type="pct"/>
            <w:tcBorders>
              <w:top w:val="single" w:color="auto" w:sz="4" w:space="0"/>
              <w:bottom w:val="single" w:color="auto" w:sz="12" w:space="0"/>
            </w:tcBorders>
            <w:hideMark/>
          </w:tcPr>
          <w:p w:rsidRPr="00766877" w:rsidR="00BF1B84" w:rsidP="007C7CA2" w:rsidRDefault="00BF1B84" w14:paraId="17BA09F6" w14:textId="77777777">
            <w:pPr>
              <w:pStyle w:val="TableCell"/>
              <w:keepNext w:val="0"/>
              <w:jc w:val="left"/>
              <w:rPr>
                <w:i/>
                <w:sz w:val="16"/>
                <w:lang w:val="en-GB"/>
              </w:rPr>
            </w:pPr>
            <w:r w:rsidRPr="001A0B9D">
              <w:rPr>
                <w:i/>
                <w:sz w:val="16"/>
                <w:lang w:val="en-GB"/>
              </w:rPr>
              <w:t>Selected countries depending on data availability (EU, OECD, other)</w:t>
            </w:r>
          </w:p>
        </w:tc>
        <w:tc>
          <w:tcPr>
            <w:tcW w:w="465" w:type="pct"/>
            <w:tcBorders>
              <w:top w:val="single" w:color="auto" w:sz="4" w:space="0"/>
              <w:left w:val="nil"/>
              <w:bottom w:val="single" w:color="auto" w:sz="12" w:space="0"/>
              <w:right w:val="nil"/>
            </w:tcBorders>
            <w:hideMark/>
          </w:tcPr>
          <w:p w:rsidRPr="00766877" w:rsidR="00BF1B84" w:rsidP="007C7CA2" w:rsidRDefault="00BF1B84" w14:paraId="17BA09F7" w14:textId="77777777">
            <w:pPr>
              <w:pStyle w:val="TableCell"/>
              <w:keepNext w:val="0"/>
              <w:jc w:val="left"/>
              <w:cnfStyle w:val="000000000000" w:firstRow="0" w:lastRow="0" w:firstColumn="0" w:lastColumn="0" w:oddVBand="0" w:evenVBand="0" w:oddHBand="0" w:evenHBand="0" w:firstRowFirstColumn="0" w:firstRowLastColumn="0" w:lastRowFirstColumn="0" w:lastRowLastColumn="0"/>
              <w:rPr>
                <w:i/>
                <w:sz w:val="16"/>
                <w:lang w:val="en-GB"/>
              </w:rPr>
            </w:pPr>
            <w:r w:rsidRPr="001A0B9D">
              <w:rPr>
                <w:i/>
                <w:sz w:val="16"/>
                <w:lang w:val="en-GB"/>
              </w:rPr>
              <w:t>1970-2019</w:t>
            </w:r>
          </w:p>
          <w:p w:rsidRPr="00766877" w:rsidR="00BF1B84" w:rsidP="63758C50" w:rsidRDefault="00BF1B84" w14:paraId="17BA09F8" w14:textId="4456AD9A">
            <w:pPr>
              <w:pStyle w:val="TableCell"/>
              <w:keepNext w:val="0"/>
              <w:jc w:val="left"/>
              <w:cnfStyle w:val="000000000000" w:firstRow="0" w:lastRow="0" w:firstColumn="0" w:lastColumn="0" w:oddVBand="0" w:evenVBand="0" w:oddHBand="0" w:evenHBand="0" w:firstRowFirstColumn="0" w:firstRowLastColumn="0" w:lastRowFirstColumn="0" w:lastRowLastColumn="0"/>
              <w:rPr>
                <w:i/>
                <w:iCs/>
                <w:sz w:val="16"/>
                <w:szCs w:val="16"/>
                <w:highlight w:val="yellow"/>
                <w:lang w:val="en-GB"/>
              </w:rPr>
            </w:pPr>
            <w:r w:rsidRPr="63758C50">
              <w:rPr>
                <w:i/>
                <w:iCs/>
                <w:sz w:val="16"/>
                <w:szCs w:val="16"/>
                <w:lang w:val="en-GB"/>
              </w:rPr>
              <w:t>(</w:t>
            </w:r>
            <w:proofErr w:type="gramStart"/>
            <w:r w:rsidRPr="63758C50">
              <w:rPr>
                <w:i/>
                <w:iCs/>
                <w:sz w:val="16"/>
                <w:szCs w:val="16"/>
                <w:lang w:val="en-GB"/>
              </w:rPr>
              <w:t>limited</w:t>
            </w:r>
            <w:proofErr w:type="gramEnd"/>
            <w:r w:rsidRPr="63758C50">
              <w:rPr>
                <w:i/>
                <w:iCs/>
                <w:sz w:val="16"/>
                <w:szCs w:val="16"/>
                <w:lang w:val="en-GB"/>
              </w:rPr>
              <w:t xml:space="preserve"> availability</w:t>
            </w:r>
            <w:r w:rsidRPr="63758C50" w:rsidR="4C8483CE">
              <w:rPr>
                <w:i/>
                <w:iCs/>
                <w:sz w:val="16"/>
                <w:szCs w:val="16"/>
                <w:lang w:val="en-GB"/>
              </w:rPr>
              <w:t xml:space="preserve"> for some variables and years</w:t>
            </w:r>
            <w:r w:rsidRPr="63758C50">
              <w:rPr>
                <w:i/>
                <w:iCs/>
                <w:sz w:val="16"/>
                <w:szCs w:val="16"/>
                <w:lang w:val="en-GB"/>
              </w:rPr>
              <w:t>)</w:t>
            </w:r>
          </w:p>
        </w:tc>
        <w:tc>
          <w:tcPr>
            <w:cnfStyle w:val="000010000000" w:firstRow="0" w:lastRow="0" w:firstColumn="0" w:lastColumn="0" w:oddVBand="1" w:evenVBand="0" w:oddHBand="0" w:evenHBand="0" w:firstRowFirstColumn="0" w:firstRowLastColumn="0" w:lastRowFirstColumn="0" w:lastRowLastColumn="0"/>
            <w:tcW w:w="1062" w:type="pct"/>
            <w:tcBorders>
              <w:top w:val="single" w:color="auto" w:sz="4" w:space="0"/>
              <w:bottom w:val="single" w:color="auto" w:sz="12" w:space="0"/>
            </w:tcBorders>
            <w:shd w:val="clear" w:color="auto" w:fill="DEEAF6" w:themeFill="accent1" w:themeFillTint="33"/>
            <w:hideMark/>
          </w:tcPr>
          <w:p w:rsidRPr="00766877" w:rsidR="00BF1B84" w:rsidP="007C7CA2" w:rsidRDefault="00BF1B84" w14:paraId="17BA09F9" w14:textId="77777777">
            <w:pPr>
              <w:pStyle w:val="TableCell"/>
              <w:keepNext w:val="0"/>
              <w:jc w:val="left"/>
              <w:rPr>
                <w:sz w:val="16"/>
                <w:lang w:val="en-GB"/>
              </w:rPr>
            </w:pPr>
            <w:r w:rsidRPr="001A0B9D">
              <w:rPr>
                <w:sz w:val="16"/>
                <w:lang w:val="en-GB"/>
              </w:rPr>
              <w:t>ISIC industries</w:t>
            </w:r>
          </w:p>
          <w:p w:rsidRPr="00766877" w:rsidR="00BF1B84" w:rsidP="63758C50" w:rsidRDefault="00BF1B84" w14:paraId="17BA09FA" w14:textId="77777777">
            <w:pPr>
              <w:pStyle w:val="TableCell"/>
              <w:keepNext w:val="0"/>
              <w:jc w:val="left"/>
              <w:rPr>
                <w:i/>
                <w:iCs/>
                <w:sz w:val="16"/>
                <w:szCs w:val="16"/>
                <w:highlight w:val="yellow"/>
                <w:lang w:val="en-GB"/>
              </w:rPr>
            </w:pPr>
            <w:r w:rsidRPr="63758C50">
              <w:rPr>
                <w:sz w:val="16"/>
                <w:szCs w:val="16"/>
                <w:lang w:val="en-GB"/>
              </w:rPr>
              <w:t>(</w:t>
            </w:r>
            <w:proofErr w:type="gramStart"/>
            <w:r w:rsidRPr="63758C50">
              <w:rPr>
                <w:sz w:val="16"/>
                <w:szCs w:val="16"/>
                <w:lang w:val="en-GB"/>
              </w:rPr>
              <w:t>limited</w:t>
            </w:r>
            <w:proofErr w:type="gramEnd"/>
            <w:r w:rsidRPr="63758C50">
              <w:rPr>
                <w:sz w:val="16"/>
                <w:szCs w:val="16"/>
                <w:lang w:val="en-GB"/>
              </w:rPr>
              <w:t xml:space="preserve"> availability</w:t>
            </w:r>
            <w:r w:rsidRPr="63758C50">
              <w:rPr>
                <w:i/>
                <w:iCs/>
                <w:sz w:val="16"/>
                <w:szCs w:val="16"/>
                <w:lang w:val="en-GB"/>
              </w:rPr>
              <w:t>)</w:t>
            </w:r>
          </w:p>
        </w:tc>
        <w:tc>
          <w:tcPr>
            <w:tcW w:w="569" w:type="pct"/>
            <w:tcBorders>
              <w:top w:val="single" w:color="auto" w:sz="4" w:space="0"/>
              <w:left w:val="nil"/>
              <w:bottom w:val="single" w:color="auto" w:sz="12" w:space="0"/>
              <w:right w:val="nil"/>
            </w:tcBorders>
            <w:hideMark/>
          </w:tcPr>
          <w:p w:rsidRPr="001A0B9D" w:rsidR="00BF1B84" w:rsidP="009F2403" w:rsidRDefault="00BF1B84" w14:paraId="17BA09FC" w14:textId="086F35DA">
            <w:pPr>
              <w:pStyle w:val="TableCell"/>
              <w:keepNext w:val="0"/>
              <w:jc w:val="left"/>
              <w:cnfStyle w:val="000000000000" w:firstRow="0" w:lastRow="0" w:firstColumn="0" w:lastColumn="0" w:oddVBand="0" w:evenVBand="0" w:oddHBand="0" w:evenHBand="0" w:firstRowFirstColumn="0" w:firstRowLastColumn="0" w:lastRowFirstColumn="0" w:lastRowLastColumn="0"/>
              <w:rPr>
                <w:lang w:val="en-GB"/>
              </w:rPr>
            </w:pPr>
            <w:r w:rsidRPr="63758C50">
              <w:rPr>
                <w:sz w:val="16"/>
                <w:szCs w:val="16"/>
                <w:lang w:val="en-GB"/>
              </w:rPr>
              <w:t xml:space="preserve">Country reporting: </w:t>
            </w:r>
            <w:r w:rsidRPr="63758C50">
              <w:rPr>
                <w:lang w:val="en-GB"/>
              </w:rPr>
              <w:t>OECD/Eurostat coordinated with UNSD/ UN Environment</w:t>
            </w:r>
            <w:r w:rsidRPr="63758C50" w:rsidR="4C612916">
              <w:rPr>
                <w:lang w:val="en-GB"/>
              </w:rPr>
              <w:t xml:space="preserve"> </w:t>
            </w:r>
            <w:r w:rsidRPr="63758C50" w:rsidR="4C612916">
              <w:rPr>
                <w:i/>
                <w:iCs/>
                <w:lang w:val="en-GB"/>
              </w:rPr>
              <w:t>(+</w:t>
            </w:r>
            <w:r w:rsidRPr="63758C50" w:rsidR="55A3A69C">
              <w:rPr>
                <w:i/>
                <w:iCs/>
                <w:lang w:val="en-GB"/>
              </w:rPr>
              <w:t xml:space="preserve"> </w:t>
            </w:r>
            <w:r w:rsidRPr="63758C50">
              <w:rPr>
                <w:i/>
                <w:iCs/>
                <w:lang w:val="en-GB"/>
              </w:rPr>
              <w:t xml:space="preserve">FAO </w:t>
            </w:r>
            <w:proofErr w:type="spellStart"/>
            <w:r w:rsidRPr="63758C50">
              <w:rPr>
                <w:i/>
                <w:iCs/>
                <w:lang w:val="en-GB"/>
              </w:rPr>
              <w:t>Aquastat</w:t>
            </w:r>
            <w:proofErr w:type="spellEnd"/>
            <w:r w:rsidRPr="63758C50">
              <w:rPr>
                <w:i/>
                <w:iCs/>
                <w:lang w:val="en-GB"/>
              </w:rPr>
              <w:t xml:space="preserve"> **</w:t>
            </w:r>
            <w:r w:rsidRPr="63758C50" w:rsidR="4C8483CE">
              <w:rPr>
                <w:i/>
                <w:iCs/>
                <w:lang w:val="en-GB"/>
              </w:rPr>
              <w:t xml:space="preserve">, </w:t>
            </w:r>
            <w:r w:rsidRPr="63758C50" w:rsidR="1A766CA5">
              <w:rPr>
                <w:i/>
                <w:iCs/>
                <w:lang w:val="en-GB"/>
              </w:rPr>
              <w:t>+</w:t>
            </w:r>
            <w:r w:rsidRPr="63758C50" w:rsidR="4C8483CE">
              <w:rPr>
                <w:i/>
                <w:iCs/>
                <w:lang w:val="en-GB"/>
              </w:rPr>
              <w:t>UN-Habitat</w:t>
            </w:r>
            <w:r w:rsidRPr="63758C50" w:rsidR="3C092D66">
              <w:rPr>
                <w:i/>
                <w:iCs/>
                <w:lang w:val="en-GB"/>
              </w:rPr>
              <w:t>,</w:t>
            </w:r>
            <w:r w:rsidRPr="63758C50" w:rsidR="4C8483CE">
              <w:rPr>
                <w:i/>
                <w:iCs/>
                <w:lang w:val="en-GB"/>
              </w:rPr>
              <w:t xml:space="preserve"> WHO (wastewater)</w:t>
            </w:r>
            <w:r w:rsidRPr="63758C50" w:rsidR="1A766CA5">
              <w:rPr>
                <w:i/>
                <w:iCs/>
                <w:lang w:val="en-GB"/>
              </w:rPr>
              <w:t>)</w:t>
            </w:r>
          </w:p>
        </w:tc>
        <w:tc>
          <w:tcPr>
            <w:cnfStyle w:val="000010000000" w:firstRow="0" w:lastRow="0" w:firstColumn="0" w:lastColumn="0" w:oddVBand="1" w:evenVBand="0" w:oddHBand="0" w:evenHBand="0" w:firstRowFirstColumn="0" w:firstRowLastColumn="0" w:lastRowFirstColumn="0" w:lastRowLastColumn="0"/>
            <w:tcW w:w="970" w:type="pct"/>
            <w:tcBorders>
              <w:top w:val="single" w:color="auto" w:sz="4" w:space="0"/>
              <w:bottom w:val="single" w:color="auto" w:sz="12" w:space="0"/>
            </w:tcBorders>
            <w:hideMark/>
          </w:tcPr>
          <w:p w:rsidRPr="007C7CA2" w:rsidR="00BF1B84" w:rsidP="007C7CA2" w:rsidRDefault="00BF1B84" w14:paraId="17BA09FD" w14:textId="77777777">
            <w:pPr>
              <w:pStyle w:val="TableCell"/>
              <w:keepNext w:val="0"/>
              <w:jc w:val="left"/>
              <w:rPr>
                <w:i/>
                <w:sz w:val="16"/>
                <w:szCs w:val="16"/>
                <w:lang w:val="en-GB"/>
              </w:rPr>
            </w:pPr>
            <w:r w:rsidRPr="007C7CA2">
              <w:rPr>
                <w:i/>
                <w:sz w:val="16"/>
                <w:szCs w:val="16"/>
                <w:lang w:val="en-GB"/>
              </w:rPr>
              <w:t>..</w:t>
            </w:r>
          </w:p>
        </w:tc>
        <w:tc>
          <w:tcPr>
            <w:tcW w:w="660" w:type="pct"/>
            <w:tcBorders>
              <w:top w:val="single" w:color="auto" w:sz="4" w:space="0"/>
              <w:left w:val="nil"/>
              <w:bottom w:val="single" w:color="auto" w:sz="12" w:space="0"/>
              <w:right w:val="nil"/>
            </w:tcBorders>
            <w:vAlign w:val="center"/>
            <w:hideMark/>
          </w:tcPr>
          <w:p w:rsidRPr="00766877" w:rsidR="00BF1B84" w:rsidP="63758C50" w:rsidRDefault="00BF1B84" w14:paraId="17BA09FE" w14:textId="66F3449E">
            <w:pPr>
              <w:pStyle w:val="TableCell"/>
              <w:keepNext w:val="0"/>
              <w:jc w:val="left"/>
              <w:cnfStyle w:val="000000000000" w:firstRow="0" w:lastRow="0" w:firstColumn="0" w:lastColumn="0" w:oddVBand="0" w:evenVBand="0" w:oddHBand="0" w:evenHBand="0" w:firstRowFirstColumn="0" w:firstRowLastColumn="0" w:lastRowFirstColumn="0" w:lastRowLastColumn="0"/>
              <w:rPr>
                <w:i/>
                <w:iCs/>
                <w:sz w:val="16"/>
                <w:szCs w:val="16"/>
                <w:lang w:val="en-GB"/>
              </w:rPr>
            </w:pPr>
            <w:r w:rsidRPr="63758C50">
              <w:rPr>
                <w:i/>
                <w:iCs/>
                <w:sz w:val="16"/>
                <w:szCs w:val="16"/>
                <w:lang w:val="en-GB"/>
              </w:rPr>
              <w:t>(</w:t>
            </w:r>
            <w:proofErr w:type="spellStart"/>
            <w:r w:rsidRPr="63758C50">
              <w:rPr>
                <w:i/>
                <w:iCs/>
                <w:sz w:val="16"/>
                <w:szCs w:val="16"/>
                <w:lang w:val="en-GB"/>
              </w:rPr>
              <w:t>cf</w:t>
            </w:r>
            <w:proofErr w:type="spellEnd"/>
            <w:r w:rsidRPr="63758C50">
              <w:rPr>
                <w:i/>
                <w:iCs/>
                <w:sz w:val="16"/>
                <w:szCs w:val="16"/>
                <w:lang w:val="en-GB"/>
              </w:rPr>
              <w:t xml:space="preserve"> SEEA water</w:t>
            </w:r>
            <w:r w:rsidRPr="63758C50" w:rsidR="55A3A69C">
              <w:rPr>
                <w:i/>
                <w:iCs/>
                <w:sz w:val="16"/>
                <w:szCs w:val="16"/>
                <w:lang w:val="en-GB"/>
              </w:rPr>
              <w:t xml:space="preserve">, SEEA </w:t>
            </w:r>
            <w:proofErr w:type="spellStart"/>
            <w:proofErr w:type="gramStart"/>
            <w:r w:rsidRPr="63758C50" w:rsidR="55A3A69C">
              <w:rPr>
                <w:i/>
                <w:iCs/>
                <w:sz w:val="16"/>
                <w:szCs w:val="16"/>
                <w:lang w:val="en-GB"/>
              </w:rPr>
              <w:t>CF,</w:t>
            </w:r>
            <w:r w:rsidRPr="63758C50">
              <w:rPr>
                <w:i/>
                <w:iCs/>
                <w:sz w:val="16"/>
                <w:szCs w:val="16"/>
                <w:lang w:val="en-GB"/>
              </w:rPr>
              <w:t>and</w:t>
            </w:r>
            <w:proofErr w:type="spellEnd"/>
            <w:proofErr w:type="gramEnd"/>
            <w:r w:rsidRPr="63758C50">
              <w:rPr>
                <w:i/>
                <w:iCs/>
                <w:sz w:val="16"/>
                <w:szCs w:val="16"/>
                <w:lang w:val="en-GB"/>
              </w:rPr>
              <w:t xml:space="preserve"> SEEA </w:t>
            </w:r>
            <w:r w:rsidRPr="63758C50" w:rsidR="5FE7242E">
              <w:rPr>
                <w:i/>
                <w:iCs/>
                <w:sz w:val="16"/>
                <w:szCs w:val="16"/>
                <w:lang w:val="en-GB"/>
              </w:rPr>
              <w:t xml:space="preserve">water </w:t>
            </w:r>
            <w:r w:rsidRPr="63758C50">
              <w:rPr>
                <w:i/>
                <w:iCs/>
                <w:sz w:val="16"/>
                <w:szCs w:val="16"/>
                <w:lang w:val="en-GB"/>
              </w:rPr>
              <w:t>Technical note)</w:t>
            </w:r>
          </w:p>
        </w:tc>
      </w:tr>
    </w:tbl>
    <w:p w:rsidRPr="003F552A" w:rsidR="00BF1B84" w:rsidP="00BF1B84" w:rsidRDefault="00BF1B84" w14:paraId="17BA0A00" w14:textId="77777777">
      <w:pPr>
        <w:pStyle w:val="Default"/>
        <w:jc w:val="center"/>
        <w:rPr>
          <w:sz w:val="22"/>
          <w:szCs w:val="22"/>
        </w:rPr>
      </w:pPr>
    </w:p>
    <w:p w:rsidRPr="00B64540" w:rsidR="00BF1B84" w:rsidP="0096443D" w:rsidRDefault="00BF1B84" w14:paraId="17BA0A01" w14:textId="77777777">
      <w:pPr>
        <w:pStyle w:val="Default"/>
        <w:rPr>
          <w:b/>
          <w:sz w:val="22"/>
          <w:szCs w:val="22"/>
        </w:rPr>
      </w:pPr>
      <w:r w:rsidRPr="00B64540">
        <w:rPr>
          <w:b/>
          <w:sz w:val="22"/>
          <w:szCs w:val="22"/>
        </w:rPr>
        <w:t>Table 2 other accounts</w:t>
      </w:r>
    </w:p>
    <w:tbl>
      <w:tblPr>
        <w:tblStyle w:val="OECD"/>
        <w:tblW w:w="5000" w:type="pct"/>
        <w:jc w:val="center"/>
        <w:tblLayout w:type="fixed"/>
        <w:tblCellMar>
          <w:left w:w="28" w:type="dxa"/>
          <w:right w:w="28" w:type="dxa"/>
        </w:tblCellMar>
        <w:tblLook w:val="0220" w:firstRow="1" w:lastRow="0" w:firstColumn="0" w:lastColumn="0" w:noHBand="1" w:noVBand="0"/>
      </w:tblPr>
      <w:tblGrid>
        <w:gridCol w:w="1533"/>
        <w:gridCol w:w="709"/>
        <w:gridCol w:w="1298"/>
        <w:gridCol w:w="916"/>
        <w:gridCol w:w="2674"/>
        <w:gridCol w:w="1301"/>
        <w:gridCol w:w="3777"/>
        <w:gridCol w:w="1750"/>
      </w:tblGrid>
      <w:tr w:rsidRPr="009F472D" w:rsidR="00E96257" w:rsidTr="00E96257" w14:paraId="17BA0A0A"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0010000000" w:firstRow="0" w:lastRow="0" w:firstColumn="0" w:lastColumn="0" w:oddVBand="1" w:evenVBand="0" w:oddHBand="0" w:evenHBand="0" w:firstRowFirstColumn="0" w:firstRowLastColumn="0" w:lastRowFirstColumn="0" w:lastRowLastColumn="0"/>
            <w:tcW w:w="549" w:type="pct"/>
            <w:tcBorders>
              <w:bottom w:val="single" w:color="auto" w:sz="12" w:space="0"/>
            </w:tcBorders>
            <w:vAlign w:val="center"/>
            <w:hideMark/>
          </w:tcPr>
          <w:p w:rsidRPr="009F472D" w:rsidR="00BF1B84" w:rsidP="009F472D" w:rsidRDefault="00BF1B84" w14:paraId="17BA0A02" w14:textId="77777777">
            <w:pPr>
              <w:pStyle w:val="TableColumn"/>
              <w:jc w:val="left"/>
              <w:rPr>
                <w:b/>
                <w:sz w:val="16"/>
                <w:szCs w:val="16"/>
                <w:lang w:val="en-GB"/>
              </w:rPr>
            </w:pPr>
            <w:r w:rsidRPr="009F472D">
              <w:rPr>
                <w:b/>
                <w:sz w:val="16"/>
                <w:szCs w:val="16"/>
                <w:lang w:val="en-GB"/>
              </w:rPr>
              <w:t>Accounts</w:t>
            </w:r>
          </w:p>
        </w:tc>
        <w:tc>
          <w:tcPr>
            <w:tcW w:w="254" w:type="pct"/>
            <w:tcBorders>
              <w:bottom w:val="single" w:color="auto" w:sz="12" w:space="0"/>
            </w:tcBorders>
            <w:vAlign w:val="center"/>
            <w:hideMark/>
          </w:tcPr>
          <w:p w:rsidRPr="009F472D" w:rsidR="00BF1B84" w:rsidRDefault="00BF1B84" w14:paraId="17BA0A03" w14:textId="77777777">
            <w:pPr>
              <w:pStyle w:val="TableColumn"/>
              <w:jc w:val="left"/>
              <w:cnfStyle w:val="100000000000" w:firstRow="1" w:lastRow="0" w:firstColumn="0" w:lastColumn="0" w:oddVBand="0" w:evenVBand="0" w:oddHBand="0" w:evenHBand="0" w:firstRowFirstColumn="0" w:firstRowLastColumn="0" w:lastRowFirstColumn="0" w:lastRowLastColumn="0"/>
              <w:rPr>
                <w:b/>
                <w:sz w:val="16"/>
                <w:szCs w:val="16"/>
                <w:lang w:val="en-GB"/>
              </w:rPr>
            </w:pPr>
            <w:r w:rsidRPr="009F472D">
              <w:rPr>
                <w:b/>
                <w:sz w:val="16"/>
                <w:szCs w:val="16"/>
                <w:lang w:val="en-GB"/>
              </w:rPr>
              <w:t>Agencies involved</w:t>
            </w:r>
          </w:p>
        </w:tc>
        <w:tc>
          <w:tcPr>
            <w:cnfStyle w:val="000010000000" w:firstRow="0" w:lastRow="0" w:firstColumn="0" w:lastColumn="0" w:oddVBand="1" w:evenVBand="0" w:oddHBand="0" w:evenHBand="0" w:firstRowFirstColumn="0" w:firstRowLastColumn="0" w:lastRowFirstColumn="0" w:lastRowLastColumn="0"/>
            <w:tcW w:w="465" w:type="pct"/>
            <w:tcBorders>
              <w:bottom w:val="single" w:color="auto" w:sz="12" w:space="0"/>
            </w:tcBorders>
            <w:vAlign w:val="center"/>
            <w:hideMark/>
          </w:tcPr>
          <w:p w:rsidRPr="009F472D" w:rsidR="00BF1B84" w:rsidP="009F472D" w:rsidRDefault="00BF1B84" w14:paraId="17BA0A04" w14:textId="77777777">
            <w:pPr>
              <w:pStyle w:val="TableColumn"/>
              <w:jc w:val="left"/>
              <w:rPr>
                <w:b/>
                <w:sz w:val="16"/>
                <w:szCs w:val="16"/>
                <w:lang w:val="en-GB"/>
              </w:rPr>
            </w:pPr>
            <w:r w:rsidRPr="009F472D">
              <w:rPr>
                <w:b/>
                <w:sz w:val="16"/>
                <w:szCs w:val="16"/>
                <w:lang w:val="en-GB"/>
              </w:rPr>
              <w:t>Country coverage</w:t>
            </w:r>
          </w:p>
        </w:tc>
        <w:tc>
          <w:tcPr>
            <w:tcW w:w="328" w:type="pct"/>
            <w:tcBorders>
              <w:bottom w:val="single" w:color="auto" w:sz="12" w:space="0"/>
            </w:tcBorders>
            <w:vAlign w:val="center"/>
            <w:hideMark/>
          </w:tcPr>
          <w:p w:rsidRPr="009F472D" w:rsidR="00BF1B84" w:rsidP="00F564FF" w:rsidRDefault="00BF1B84" w14:paraId="17BA0A05" w14:textId="77777777">
            <w:pPr>
              <w:pStyle w:val="TableColumn"/>
              <w:jc w:val="left"/>
              <w:cnfStyle w:val="100000000000" w:firstRow="1" w:lastRow="0" w:firstColumn="0" w:lastColumn="0" w:oddVBand="0" w:evenVBand="0" w:oddHBand="0" w:evenHBand="0" w:firstRowFirstColumn="0" w:firstRowLastColumn="0" w:lastRowFirstColumn="0" w:lastRowLastColumn="0"/>
              <w:rPr>
                <w:b/>
                <w:sz w:val="16"/>
                <w:szCs w:val="16"/>
                <w:lang w:val="en-GB"/>
              </w:rPr>
            </w:pPr>
            <w:r w:rsidRPr="009F472D">
              <w:rPr>
                <w:b/>
                <w:sz w:val="16"/>
                <w:szCs w:val="16"/>
                <w:lang w:val="en-GB"/>
              </w:rPr>
              <w:t>Time coverage</w:t>
            </w:r>
          </w:p>
        </w:tc>
        <w:tc>
          <w:tcPr>
            <w:cnfStyle w:val="000010000000" w:firstRow="0" w:lastRow="0" w:firstColumn="0" w:lastColumn="0" w:oddVBand="1" w:evenVBand="0" w:oddHBand="0" w:evenHBand="0" w:firstRowFirstColumn="0" w:firstRowLastColumn="0" w:lastRowFirstColumn="0" w:lastRowLastColumn="0"/>
            <w:tcW w:w="958" w:type="pct"/>
            <w:tcBorders>
              <w:bottom w:val="single" w:color="auto" w:sz="12" w:space="0"/>
            </w:tcBorders>
            <w:vAlign w:val="center"/>
            <w:hideMark/>
          </w:tcPr>
          <w:p w:rsidRPr="009F472D" w:rsidR="00BF1B84" w:rsidP="009F472D" w:rsidRDefault="00BF1B84" w14:paraId="17BA0A06" w14:textId="77777777">
            <w:pPr>
              <w:pStyle w:val="TableColumn"/>
              <w:jc w:val="left"/>
              <w:rPr>
                <w:b/>
                <w:sz w:val="16"/>
                <w:szCs w:val="16"/>
                <w:lang w:val="en-GB"/>
              </w:rPr>
            </w:pPr>
            <w:r w:rsidRPr="009F472D">
              <w:rPr>
                <w:b/>
                <w:sz w:val="16"/>
                <w:szCs w:val="16"/>
                <w:lang w:val="en-GB"/>
              </w:rPr>
              <w:t>Classifications used</w:t>
            </w:r>
          </w:p>
        </w:tc>
        <w:tc>
          <w:tcPr>
            <w:tcW w:w="466" w:type="pct"/>
            <w:tcBorders>
              <w:bottom w:val="single" w:color="auto" w:sz="12" w:space="0"/>
            </w:tcBorders>
            <w:vAlign w:val="center"/>
            <w:hideMark/>
          </w:tcPr>
          <w:p w:rsidRPr="009F472D" w:rsidR="00BF1B84" w:rsidP="009E7D92" w:rsidRDefault="00BF1B84" w14:paraId="17BA0A07" w14:textId="77777777">
            <w:pPr>
              <w:pStyle w:val="TableColumn"/>
              <w:jc w:val="left"/>
              <w:cnfStyle w:val="100000000000" w:firstRow="1" w:lastRow="0" w:firstColumn="0" w:lastColumn="0" w:oddVBand="0" w:evenVBand="0" w:oddHBand="0" w:evenHBand="0" w:firstRowFirstColumn="0" w:firstRowLastColumn="0" w:lastRowFirstColumn="0" w:lastRowLastColumn="0"/>
              <w:rPr>
                <w:b/>
                <w:sz w:val="16"/>
                <w:szCs w:val="16"/>
                <w:lang w:val="en-GB"/>
              </w:rPr>
            </w:pPr>
            <w:r w:rsidRPr="009F472D">
              <w:rPr>
                <w:b/>
                <w:sz w:val="16"/>
                <w:szCs w:val="16"/>
                <w:lang w:val="en-GB"/>
              </w:rPr>
              <w:t>Data sources</w:t>
            </w:r>
          </w:p>
        </w:tc>
        <w:tc>
          <w:tcPr>
            <w:cnfStyle w:val="000010000000" w:firstRow="0" w:lastRow="0" w:firstColumn="0" w:lastColumn="0" w:oddVBand="1" w:evenVBand="0" w:oddHBand="0" w:evenHBand="0" w:firstRowFirstColumn="0" w:firstRowLastColumn="0" w:lastRowFirstColumn="0" w:lastRowLastColumn="0"/>
            <w:tcW w:w="1353" w:type="pct"/>
            <w:tcBorders>
              <w:bottom w:val="single" w:color="auto" w:sz="12" w:space="0"/>
            </w:tcBorders>
            <w:vAlign w:val="center"/>
            <w:hideMark/>
          </w:tcPr>
          <w:p w:rsidRPr="009F472D" w:rsidR="00BF1B84" w:rsidRDefault="00BF1B84" w14:paraId="17BA0A08" w14:textId="77777777">
            <w:pPr>
              <w:pStyle w:val="TableColumn"/>
              <w:jc w:val="left"/>
              <w:rPr>
                <w:b/>
                <w:sz w:val="16"/>
                <w:szCs w:val="16"/>
                <w:lang w:val="en-GB"/>
              </w:rPr>
            </w:pPr>
            <w:r w:rsidRPr="009F472D">
              <w:rPr>
                <w:b/>
                <w:sz w:val="16"/>
                <w:szCs w:val="16"/>
                <w:lang w:val="en-GB"/>
              </w:rPr>
              <w:t>Available databases/datasets</w:t>
            </w:r>
          </w:p>
        </w:tc>
        <w:tc>
          <w:tcPr>
            <w:tcW w:w="627" w:type="pct"/>
            <w:tcBorders>
              <w:bottom w:val="single" w:color="auto" w:sz="12" w:space="0"/>
            </w:tcBorders>
            <w:vAlign w:val="center"/>
            <w:hideMark/>
          </w:tcPr>
          <w:p w:rsidRPr="009F472D" w:rsidR="00BF1B84" w:rsidP="009F472D" w:rsidRDefault="00BF1B84" w14:paraId="17BA0A09" w14:textId="77777777">
            <w:pPr>
              <w:pStyle w:val="TableColumn"/>
              <w:jc w:val="left"/>
              <w:cnfStyle w:val="100000000000" w:firstRow="1" w:lastRow="0" w:firstColumn="0" w:lastColumn="0" w:oddVBand="0" w:evenVBand="0" w:oddHBand="0" w:evenHBand="0" w:firstRowFirstColumn="0" w:firstRowLastColumn="0" w:lastRowFirstColumn="0" w:lastRowLastColumn="0"/>
              <w:rPr>
                <w:b/>
                <w:sz w:val="16"/>
                <w:szCs w:val="16"/>
                <w:lang w:val="en-GB"/>
              </w:rPr>
            </w:pPr>
            <w:r w:rsidRPr="009F472D">
              <w:rPr>
                <w:b/>
                <w:sz w:val="16"/>
                <w:szCs w:val="16"/>
                <w:lang w:val="en-GB"/>
              </w:rPr>
              <w:t>Status of methodology (compilation, estimation)</w:t>
            </w:r>
          </w:p>
        </w:tc>
      </w:tr>
      <w:tr w:rsidRPr="009F472D" w:rsidR="00E96257" w:rsidTr="00E96257" w14:paraId="17BA0A13"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0B" w14:textId="77777777">
            <w:pPr>
              <w:spacing w:line="240" w:lineRule="auto"/>
              <w:jc w:val="left"/>
              <w:rPr>
                <w:rFonts w:ascii="Arial Narrow" w:hAnsi="Arial Narrow"/>
                <w:b/>
                <w:i/>
                <w:color w:val="000000"/>
                <w:sz w:val="16"/>
                <w:szCs w:val="16"/>
                <w:lang w:val="en-GB"/>
              </w:rPr>
            </w:pPr>
            <w:r w:rsidRPr="009F472D">
              <w:rPr>
                <w:rFonts w:ascii="Arial Narrow" w:hAnsi="Arial Narrow"/>
                <w:b/>
                <w:i/>
                <w:color w:val="000000"/>
                <w:sz w:val="16"/>
                <w:szCs w:val="16"/>
                <w:lang w:val="en-GB"/>
              </w:rPr>
              <w:t xml:space="preserve">Mineral &amp; Energy resources - asset accounts </w:t>
            </w:r>
          </w:p>
        </w:tc>
        <w:tc>
          <w:tcPr>
            <w:tcW w:w="254" w:type="pct"/>
            <w:tcBorders>
              <w:top w:val="nil"/>
              <w:left w:val="nil"/>
              <w:bottom w:val="nil"/>
              <w:right w:val="nil"/>
            </w:tcBorders>
            <w:tcMar>
              <w:top w:w="57" w:type="dxa"/>
              <w:left w:w="85" w:type="dxa"/>
              <w:bottom w:w="28" w:type="dxa"/>
              <w:right w:w="85" w:type="dxa"/>
            </w:tcMar>
            <w:hideMark/>
          </w:tcPr>
          <w:p w:rsidRPr="009F472D" w:rsidR="00BF1B84" w:rsidRDefault="00BF1B84" w14:paraId="17BA0A0C"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OECD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0D" w14:textId="77777777">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Currently covering</w:t>
            </w:r>
            <w:r w:rsidRPr="009F472D" w:rsidR="00881F37">
              <w:rPr>
                <w:rFonts w:ascii="Arial Narrow" w:hAnsi="Arial Narrow"/>
                <w:color w:val="000000" w:themeColor="text1"/>
                <w:sz w:val="16"/>
                <w:szCs w:val="16"/>
                <w:lang w:val="en-GB"/>
              </w:rPr>
              <w:t xml:space="preserve"> </w:t>
            </w:r>
            <w:r w:rsidRPr="009F472D">
              <w:rPr>
                <w:rFonts w:ascii="Arial Narrow" w:hAnsi="Arial Narrow"/>
                <w:color w:val="000000" w:themeColor="text1"/>
                <w:sz w:val="16"/>
                <w:szCs w:val="16"/>
                <w:lang w:val="en-GB"/>
              </w:rPr>
              <w:t xml:space="preserve">9 countries </w:t>
            </w:r>
          </w:p>
        </w:tc>
        <w:tc>
          <w:tcPr>
            <w:tcW w:w="328" w:type="pct"/>
            <w:tcBorders>
              <w:top w:val="nil"/>
              <w:left w:val="nil"/>
              <w:bottom w:val="nil"/>
              <w:right w:val="nil"/>
            </w:tcBorders>
            <w:tcMar>
              <w:top w:w="57" w:type="dxa"/>
              <w:left w:w="85" w:type="dxa"/>
              <w:bottom w:w="28" w:type="dxa"/>
              <w:right w:w="85" w:type="dxa"/>
            </w:tcMar>
            <w:hideMark/>
          </w:tcPr>
          <w:p w:rsidRPr="009F472D" w:rsidR="00BF1B84" w:rsidP="00F564FF" w:rsidRDefault="00BF1B84" w14:paraId="17BA0A0E" w14:textId="013AA25F">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themeColor="text1"/>
                <w:sz w:val="16"/>
                <w:szCs w:val="16"/>
                <w:lang w:val="en-GB"/>
              </w:rPr>
              <w:t>1960-20</w:t>
            </w:r>
            <w:r w:rsidR="0096443D">
              <w:rPr>
                <w:rFonts w:ascii="Arial Narrow" w:hAnsi="Arial Narrow"/>
                <w:color w:val="000000" w:themeColor="text1"/>
                <w:sz w:val="16"/>
                <w:szCs w:val="16"/>
                <w:lang w:val="en-GB"/>
              </w:rPr>
              <w:t>2</w:t>
            </w:r>
            <w:r w:rsidR="00586FD6">
              <w:rPr>
                <w:rFonts w:ascii="Arial Narrow" w:hAnsi="Arial Narrow"/>
                <w:color w:val="000000" w:themeColor="text1"/>
                <w:sz w:val="16"/>
                <w:szCs w:val="16"/>
                <w:lang w:val="en-GB"/>
              </w:rPr>
              <w:t>2</w:t>
            </w:r>
            <w:r w:rsidR="0096443D">
              <w:rPr>
                <w:rFonts w:ascii="Arial Narrow" w:hAnsi="Arial Narrow"/>
                <w:color w:val="000000" w:themeColor="text1"/>
                <w:sz w:val="16"/>
                <w:szCs w:val="16"/>
                <w:lang w:val="en-GB"/>
              </w:rPr>
              <w:t xml:space="preserve"> </w:t>
            </w:r>
            <w:r w:rsidRPr="009F472D">
              <w:rPr>
                <w:rFonts w:ascii="Arial Narrow" w:hAnsi="Arial Narrow"/>
                <w:color w:val="000000" w:themeColor="text1"/>
                <w:sz w:val="16"/>
                <w:szCs w:val="16"/>
                <w:lang w:val="en-GB"/>
              </w:rPr>
              <w:t xml:space="preserve">(availability varies)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0F" w14:textId="77777777">
            <w:pPr>
              <w:spacing w:line="240" w:lineRule="auto"/>
              <w:jc w:val="left"/>
              <w:rPr>
                <w:rFonts w:ascii="Arial Narrow" w:hAnsi="Arial Narrow"/>
                <w:color w:val="000000"/>
                <w:sz w:val="16"/>
                <w:szCs w:val="16"/>
                <w:lang w:val="en-GB"/>
              </w:rPr>
            </w:pPr>
            <w:r w:rsidRPr="009F472D">
              <w:rPr>
                <w:rFonts w:ascii="Arial Narrow" w:hAnsi="Arial Narrow"/>
                <w:color w:val="000000"/>
                <w:sz w:val="16"/>
                <w:szCs w:val="16"/>
                <w:lang w:val="en-GB"/>
              </w:rPr>
              <w:t xml:space="preserve">14 resources prioritized (same as World Bank) </w:t>
            </w:r>
          </w:p>
        </w:tc>
        <w:tc>
          <w:tcPr>
            <w:tcW w:w="466" w:type="pct"/>
            <w:tcBorders>
              <w:top w:val="nil"/>
              <w:left w:val="nil"/>
              <w:bottom w:val="nil"/>
              <w:right w:val="nil"/>
            </w:tcBorders>
            <w:tcMar>
              <w:top w:w="57" w:type="dxa"/>
              <w:left w:w="85" w:type="dxa"/>
              <w:bottom w:w="28" w:type="dxa"/>
              <w:right w:w="85" w:type="dxa"/>
            </w:tcMar>
            <w:hideMark/>
          </w:tcPr>
          <w:p w:rsidRPr="009F472D" w:rsidR="00BF1B84" w:rsidP="009E7D92" w:rsidRDefault="00BF1B84" w14:paraId="17BA0A10"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Country reporting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412F5F" w:rsidR="00BF1B84" w:rsidRDefault="00BF1B84" w14:paraId="17BA0A11" w14:textId="77777777">
            <w:pPr>
              <w:spacing w:line="240" w:lineRule="auto"/>
              <w:rPr>
                <w:rFonts w:ascii="Arial Narrow" w:hAnsi="Arial Narrow" w:eastAsia="Times New Roman" w:cs="Arial"/>
                <w:color w:val="000000"/>
                <w:sz w:val="16"/>
                <w:szCs w:val="16"/>
                <w:lang w:val="es-419"/>
              </w:rPr>
            </w:pPr>
            <w:r w:rsidRPr="0089620C">
              <w:rPr>
                <w:rFonts w:ascii="Arial Narrow" w:hAnsi="Arial Narrow" w:eastAsia="Times New Roman" w:cs="Arial"/>
                <w:color w:val="000000"/>
                <w:sz w:val="16"/>
                <w:szCs w:val="16"/>
                <w:lang w:val="es-ES"/>
              </w:rPr>
              <w:t> </w:t>
            </w:r>
            <w:proofErr w:type="gramStart"/>
            <w:r w:rsidRPr="00412F5F" w:rsidR="00881F37">
              <w:rPr>
                <w:rFonts w:ascii="Arial Narrow" w:hAnsi="Arial Narrow" w:eastAsia="Times New Roman" w:cs="Arial"/>
                <w:color w:val="000000"/>
                <w:sz w:val="16"/>
                <w:szCs w:val="16"/>
                <w:lang w:val="es-419"/>
              </w:rPr>
              <w:t>OECD :</w:t>
            </w:r>
            <w:proofErr w:type="gramEnd"/>
            <w:r w:rsidRPr="00412F5F" w:rsidR="00881F37">
              <w:rPr>
                <w:rFonts w:ascii="Arial Narrow" w:hAnsi="Arial Narrow" w:eastAsia="Times New Roman" w:cs="Arial"/>
                <w:color w:val="000000"/>
                <w:sz w:val="16"/>
                <w:szCs w:val="16"/>
                <w:lang w:val="es-419"/>
              </w:rPr>
              <w:t xml:space="preserve"> </w:t>
            </w:r>
            <w:hyperlink w:history="1" r:id="rId28">
              <w:r w:rsidRPr="00412F5F" w:rsidR="00881F37">
                <w:rPr>
                  <w:rStyle w:val="Hyperlink"/>
                  <w:rFonts w:ascii="Arial Narrow" w:hAnsi="Arial Narrow" w:eastAsia="Times New Roman" w:cs="Arial"/>
                  <w:sz w:val="16"/>
                  <w:szCs w:val="16"/>
                  <w:lang w:val="es-419"/>
                </w:rPr>
                <w:t>https://stats.oecd.org/Index.aspx?DataSetCode=NAT_RES</w:t>
              </w:r>
            </w:hyperlink>
          </w:p>
        </w:tc>
        <w:tc>
          <w:tcPr>
            <w:tcW w:w="627" w:type="pct"/>
            <w:tcBorders>
              <w:top w:val="nil"/>
              <w:left w:val="nil"/>
              <w:bottom w:val="nil"/>
              <w:right w:val="nil"/>
            </w:tcBorders>
            <w:tcMar>
              <w:top w:w="57" w:type="dxa"/>
              <w:left w:w="85" w:type="dxa"/>
              <w:bottom w:w="28" w:type="dxa"/>
              <w:right w:w="85" w:type="dxa"/>
            </w:tcMar>
            <w:hideMark/>
          </w:tcPr>
          <w:p w:rsidRPr="009F472D" w:rsidR="00BF1B84" w:rsidP="009F472D" w:rsidRDefault="00BF1B84" w14:paraId="17BA0A12" w14:textId="49F007C5">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OECD Green Growth </w:t>
            </w:r>
            <w:proofErr w:type="gramStart"/>
            <w:r w:rsidRPr="009F472D">
              <w:rPr>
                <w:rFonts w:ascii="Arial Narrow" w:hAnsi="Arial Narrow"/>
                <w:color w:val="000000" w:themeColor="text1"/>
                <w:sz w:val="16"/>
                <w:szCs w:val="16"/>
                <w:lang w:val="en-GB"/>
              </w:rPr>
              <w:t>Working  paper</w:t>
            </w:r>
            <w:proofErr w:type="gramEnd"/>
            <w:r w:rsidRPr="009F472D">
              <w:rPr>
                <w:rFonts w:ascii="Arial Narrow" w:hAnsi="Arial Narrow"/>
                <w:color w:val="000000" w:themeColor="text1"/>
                <w:sz w:val="16"/>
                <w:szCs w:val="16"/>
                <w:lang w:val="en-GB"/>
              </w:rPr>
              <w:t xml:space="preserve"> (2018)</w:t>
            </w:r>
          </w:p>
        </w:tc>
      </w:tr>
      <w:tr w:rsidRPr="009F472D" w:rsidR="00E96257" w:rsidTr="00E96257" w14:paraId="17BA0A1D"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14" w14:textId="77777777">
            <w:pPr>
              <w:spacing w:line="240" w:lineRule="auto"/>
              <w:jc w:val="left"/>
              <w:rPr>
                <w:rFonts w:ascii="Arial Narrow" w:hAnsi="Arial Narrow"/>
                <w:b/>
                <w:i/>
                <w:color w:val="000000"/>
                <w:sz w:val="16"/>
                <w:szCs w:val="16"/>
                <w:lang w:val="en-GB"/>
              </w:rPr>
            </w:pPr>
            <w:proofErr w:type="gramStart"/>
            <w:r w:rsidRPr="009F472D">
              <w:rPr>
                <w:rFonts w:ascii="Arial Narrow" w:hAnsi="Arial Narrow"/>
                <w:b/>
                <w:i/>
                <w:color w:val="000000" w:themeColor="text1"/>
                <w:sz w:val="16"/>
                <w:szCs w:val="16"/>
                <w:lang w:val="en-GB"/>
              </w:rPr>
              <w:t>Environmentally-related</w:t>
            </w:r>
            <w:proofErr w:type="gramEnd"/>
            <w:r w:rsidRPr="009F472D">
              <w:rPr>
                <w:rFonts w:ascii="Arial Narrow" w:hAnsi="Arial Narrow"/>
                <w:b/>
                <w:i/>
                <w:color w:val="000000" w:themeColor="text1"/>
                <w:sz w:val="16"/>
                <w:szCs w:val="16"/>
                <w:lang w:val="en-GB"/>
              </w:rPr>
              <w:t xml:space="preserve"> tax revenue (ERTR) </w:t>
            </w:r>
          </w:p>
        </w:tc>
        <w:tc>
          <w:tcPr>
            <w:tcW w:w="254"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RDefault="00BF1B84" w14:paraId="17BA0A15"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OECD, Eurostat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16" w14:textId="77777777">
            <w:pPr>
              <w:spacing w:line="240" w:lineRule="auto"/>
              <w:jc w:val="left"/>
              <w:rPr>
                <w:rFonts w:ascii="Arial Narrow" w:hAnsi="Arial Narrow"/>
                <w:color w:val="000000"/>
                <w:sz w:val="16"/>
                <w:szCs w:val="16"/>
                <w:lang w:val="en-GB"/>
              </w:rPr>
            </w:pPr>
            <w:r w:rsidRPr="009F472D">
              <w:rPr>
                <w:rFonts w:ascii="Arial Narrow" w:hAnsi="Arial Narrow"/>
                <w:color w:val="000000"/>
                <w:sz w:val="16"/>
                <w:szCs w:val="16"/>
                <w:lang w:val="en-GB"/>
              </w:rPr>
              <w:t xml:space="preserve">Selected countries depending on data availability (EU, OECD, other) </w:t>
            </w:r>
          </w:p>
        </w:tc>
        <w:tc>
          <w:tcPr>
            <w:tcW w:w="328"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F564FF" w:rsidRDefault="00BF1B84" w14:paraId="17BA0A17"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1994-2018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18" w14:textId="77777777">
            <w:pPr>
              <w:spacing w:line="240" w:lineRule="auto"/>
              <w:jc w:val="left"/>
              <w:rPr>
                <w:rFonts w:ascii="Arial Narrow" w:hAnsi="Arial Narrow"/>
                <w:color w:val="000000" w:themeColor="text1"/>
                <w:sz w:val="16"/>
                <w:szCs w:val="16"/>
                <w:lang w:val="en-GB"/>
              </w:rPr>
            </w:pPr>
            <w:r w:rsidRPr="009F472D">
              <w:rPr>
                <w:rFonts w:ascii="Arial Narrow" w:hAnsi="Arial Narrow"/>
                <w:color w:val="000000" w:themeColor="text1"/>
                <w:sz w:val="16"/>
                <w:szCs w:val="16"/>
                <w:lang w:val="en-GB"/>
              </w:rPr>
              <w:t xml:space="preserve">ISIC Rev4, Households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Tax bases: energy, transport, pollution, resources. </w:t>
            </w:r>
          </w:p>
          <w:p w:rsidRPr="009F472D" w:rsidR="00BF1B84" w:rsidP="009F472D" w:rsidRDefault="00BF1B84" w14:paraId="17BA0A19" w14:textId="0EB6BDFC">
            <w:pPr>
              <w:spacing w:line="240" w:lineRule="auto"/>
              <w:jc w:val="left"/>
              <w:rPr>
                <w:rFonts w:ascii="Arial Narrow" w:hAnsi="Arial Narrow"/>
                <w:color w:val="000000" w:themeColor="text1"/>
                <w:sz w:val="16"/>
                <w:szCs w:val="16"/>
                <w:lang w:val="en-GB"/>
              </w:rPr>
            </w:pPr>
            <w:r w:rsidRPr="009F472D">
              <w:rPr>
                <w:rFonts w:ascii="Arial Narrow" w:hAnsi="Arial Narrow"/>
                <w:color w:val="000000" w:themeColor="text1"/>
                <w:sz w:val="16"/>
                <w:szCs w:val="16"/>
                <w:lang w:val="en-GB"/>
              </w:rPr>
              <w:t>Domains:</w:t>
            </w:r>
            <w:r w:rsidRPr="009F472D" w:rsidR="05EED45E">
              <w:rPr>
                <w:rFonts w:ascii="Arial Narrow" w:hAnsi="Arial Narrow"/>
                <w:color w:val="000000" w:themeColor="text1"/>
                <w:sz w:val="16"/>
                <w:szCs w:val="16"/>
                <w:lang w:val="en-GB"/>
              </w:rPr>
              <w:t xml:space="preserve"> </w:t>
            </w:r>
            <w:r w:rsidRPr="009F472D">
              <w:rPr>
                <w:rFonts w:ascii="Arial Narrow" w:hAnsi="Arial Narrow"/>
                <w:color w:val="000000" w:themeColor="text1"/>
                <w:sz w:val="16"/>
                <w:szCs w:val="16"/>
                <w:lang w:val="en-GB"/>
              </w:rPr>
              <w:t>Total, air pollution, biodiversity, climate change, ocean, etc.</w:t>
            </w:r>
          </w:p>
        </w:tc>
        <w:tc>
          <w:tcPr>
            <w:tcW w:w="466"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E7D92" w:rsidRDefault="00BF1B84" w14:paraId="17BA0A1A"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Country reporting: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OECD/Eurostat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0437A0" w:rsidR="00BF1B84" w:rsidRDefault="00BF1B84" w14:paraId="17BA0A1B" w14:textId="1EE18DA6">
            <w:pPr>
              <w:spacing w:line="240" w:lineRule="auto"/>
              <w:rPr>
                <w:rFonts w:ascii="Arial Narrow" w:hAnsi="Arial Narrow"/>
                <w:sz w:val="16"/>
                <w:szCs w:val="16"/>
                <w:lang w:val="it-IT"/>
              </w:rPr>
            </w:pPr>
            <w:r w:rsidRPr="009F472D">
              <w:rPr>
                <w:rFonts w:ascii="Arial Narrow" w:hAnsi="Arial Narrow"/>
                <w:color w:val="000000" w:themeColor="text1"/>
                <w:sz w:val="16"/>
                <w:szCs w:val="16"/>
                <w:lang w:val="it-IT"/>
              </w:rPr>
              <w:t xml:space="preserve">Eurostat: </w:t>
            </w:r>
            <w:r w:rsidRPr="009F472D">
              <w:rPr>
                <w:rFonts w:ascii="Arial Narrow" w:hAnsi="Arial Narrow"/>
                <w:sz w:val="16"/>
                <w:szCs w:val="16"/>
                <w:lang w:val="it-IT"/>
              </w:rPr>
              <w:br/>
            </w:r>
            <w:hyperlink w:history="1" r:id="rId29">
              <w:r w:rsidRPr="00565C2A" w:rsidR="0096443D">
                <w:rPr>
                  <w:rStyle w:val="Hyperlink"/>
                  <w:rFonts w:ascii="Arial Narrow" w:hAnsi="Arial Narrow"/>
                  <w:sz w:val="16"/>
                  <w:szCs w:val="16"/>
                  <w:lang w:val="it-IT"/>
                </w:rPr>
                <w:t>https://appsso.eurostat.ec.europa.eu/nui/show.do?dataset=env_ac_taxind2&amp;lang=en</w:t>
              </w:r>
            </w:hyperlink>
            <w:r w:rsidRPr="009F472D">
              <w:rPr>
                <w:rFonts w:ascii="Arial Narrow" w:hAnsi="Arial Narrow"/>
                <w:color w:val="000000" w:themeColor="text1"/>
                <w:sz w:val="16"/>
                <w:szCs w:val="16"/>
                <w:lang w:val="it-IT"/>
              </w:rPr>
              <w:t xml:space="preserve"> </w:t>
            </w:r>
            <w:r w:rsidRPr="009F472D">
              <w:rPr>
                <w:rFonts w:ascii="Arial Narrow" w:hAnsi="Arial Narrow"/>
                <w:sz w:val="16"/>
                <w:szCs w:val="16"/>
                <w:lang w:val="it-IT"/>
              </w:rPr>
              <w:br/>
            </w:r>
            <w:r w:rsidRPr="009F472D">
              <w:rPr>
                <w:rFonts w:ascii="Arial Narrow" w:hAnsi="Arial Narrow"/>
                <w:color w:val="000000" w:themeColor="text1"/>
                <w:sz w:val="16"/>
                <w:szCs w:val="16"/>
                <w:lang w:val="it-IT"/>
              </w:rPr>
              <w:t xml:space="preserve">OECD: </w:t>
            </w:r>
            <w:r w:rsidRPr="009F472D">
              <w:rPr>
                <w:rFonts w:ascii="Arial Narrow" w:hAnsi="Arial Narrow"/>
                <w:sz w:val="16"/>
                <w:szCs w:val="16"/>
                <w:lang w:val="it-IT"/>
              </w:rPr>
              <w:br/>
            </w:r>
            <w:hyperlink w:history="1" r:id="rId30">
              <w:r w:rsidRPr="009F472D" w:rsidR="00391F52">
                <w:rPr>
                  <w:rStyle w:val="Hyperlink"/>
                  <w:rFonts w:ascii="Arial Narrow" w:hAnsi="Arial Narrow"/>
                  <w:sz w:val="16"/>
                  <w:szCs w:val="16"/>
                  <w:lang w:val="it-IT"/>
                </w:rPr>
                <w:t>http://stats.oecd.org/Index.aspx?DataSetCode=ERTR_ACC</w:t>
              </w:r>
            </w:hyperlink>
            <w:r w:rsidRPr="009F472D">
              <w:rPr>
                <w:rFonts w:ascii="Arial Narrow" w:hAnsi="Arial Narrow"/>
                <w:color w:val="000000" w:themeColor="text1"/>
                <w:sz w:val="16"/>
                <w:szCs w:val="16"/>
                <w:lang w:val="it-IT"/>
              </w:rPr>
              <w:t xml:space="preserve"> </w:t>
            </w:r>
            <w:r w:rsidRPr="009F472D">
              <w:rPr>
                <w:rFonts w:ascii="Arial Narrow" w:hAnsi="Arial Narrow"/>
                <w:sz w:val="16"/>
                <w:szCs w:val="16"/>
                <w:lang w:val="it-IT"/>
              </w:rPr>
              <w:br/>
            </w:r>
            <w:r w:rsidRPr="009F472D">
              <w:rPr>
                <w:rFonts w:ascii="Arial Narrow" w:hAnsi="Arial Narrow"/>
                <w:color w:val="000000" w:themeColor="text1"/>
                <w:sz w:val="16"/>
                <w:szCs w:val="16"/>
                <w:lang w:val="it-IT"/>
              </w:rPr>
              <w:t xml:space="preserve"> </w:t>
            </w:r>
          </w:p>
        </w:tc>
        <w:tc>
          <w:tcPr>
            <w:tcW w:w="627"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F472D" w:rsidRDefault="00BF1B84" w14:paraId="17BA0A1C" w14:textId="6F4B76E5">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Based on Eurostat manual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and OECD methodological guidelines </w:t>
            </w:r>
          </w:p>
        </w:tc>
      </w:tr>
      <w:tr w:rsidRPr="009F472D" w:rsidR="00E96257" w:rsidTr="00E96257" w14:paraId="17BA0A26"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1E" w14:textId="77777777">
            <w:pPr>
              <w:spacing w:line="240" w:lineRule="auto"/>
              <w:jc w:val="left"/>
              <w:rPr>
                <w:rFonts w:ascii="Arial Narrow" w:hAnsi="Arial Narrow"/>
                <w:b/>
                <w:i/>
                <w:color w:val="000000"/>
                <w:sz w:val="16"/>
                <w:szCs w:val="16"/>
                <w:lang w:val="en-GB"/>
              </w:rPr>
            </w:pPr>
            <w:r w:rsidRPr="009F472D">
              <w:rPr>
                <w:rFonts w:ascii="Arial Narrow" w:hAnsi="Arial Narrow"/>
                <w:b/>
                <w:i/>
                <w:color w:val="000000"/>
                <w:sz w:val="16"/>
                <w:szCs w:val="16"/>
                <w:lang w:val="en-GB"/>
              </w:rPr>
              <w:t xml:space="preserve">Environmental Goods and Services </w:t>
            </w:r>
          </w:p>
        </w:tc>
        <w:tc>
          <w:tcPr>
            <w:tcW w:w="254" w:type="pct"/>
            <w:tcBorders>
              <w:top w:val="nil"/>
              <w:left w:val="nil"/>
              <w:bottom w:val="nil"/>
              <w:right w:val="nil"/>
            </w:tcBorders>
            <w:tcMar>
              <w:top w:w="57" w:type="dxa"/>
              <w:left w:w="85" w:type="dxa"/>
              <w:bottom w:w="28" w:type="dxa"/>
              <w:right w:w="85" w:type="dxa"/>
            </w:tcMar>
            <w:hideMark/>
          </w:tcPr>
          <w:p w:rsidRPr="009F472D" w:rsidR="00BF1B84" w:rsidRDefault="00BF1B84" w14:paraId="17BA0A1F"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20" w14:textId="77777777">
            <w:pPr>
              <w:spacing w:line="240" w:lineRule="auto"/>
              <w:jc w:val="left"/>
              <w:rPr>
                <w:rFonts w:ascii="Arial Narrow" w:hAnsi="Arial Narrow"/>
                <w:i/>
                <w:color w:val="000000"/>
                <w:sz w:val="16"/>
                <w:szCs w:val="16"/>
                <w:lang w:val="en-GB"/>
              </w:rPr>
            </w:pPr>
            <w:r w:rsidRPr="009F472D">
              <w:rPr>
                <w:rFonts w:ascii="Arial Narrow" w:hAnsi="Arial Narrow"/>
                <w:i/>
                <w:color w:val="000000"/>
                <w:sz w:val="16"/>
                <w:szCs w:val="16"/>
                <w:lang w:val="en-GB"/>
              </w:rPr>
              <w:t xml:space="preserve">EU countries </w:t>
            </w:r>
          </w:p>
        </w:tc>
        <w:tc>
          <w:tcPr>
            <w:tcW w:w="328" w:type="pct"/>
            <w:tcBorders>
              <w:top w:val="nil"/>
              <w:left w:val="nil"/>
              <w:bottom w:val="nil"/>
              <w:right w:val="nil"/>
            </w:tcBorders>
            <w:tcMar>
              <w:top w:w="57" w:type="dxa"/>
              <w:left w:w="85" w:type="dxa"/>
              <w:bottom w:w="28" w:type="dxa"/>
              <w:right w:w="85" w:type="dxa"/>
            </w:tcMar>
            <w:hideMark/>
          </w:tcPr>
          <w:p w:rsidRPr="009F472D" w:rsidR="00BF1B84" w:rsidP="00F564FF" w:rsidRDefault="00BF1B84" w14:paraId="17BA0A21"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2009-2017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22" w14:textId="77777777">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Total, Ancillary, Market, non-market, own </w:t>
            </w:r>
            <w:proofErr w:type="gramStart"/>
            <w:r w:rsidRPr="009F472D">
              <w:rPr>
                <w:rFonts w:ascii="Arial Narrow" w:hAnsi="Arial Narrow"/>
                <w:color w:val="000000" w:themeColor="text1"/>
                <w:sz w:val="16"/>
                <w:szCs w:val="16"/>
                <w:lang w:val="en-GB"/>
              </w:rPr>
              <w:t>final-use</w:t>
            </w:r>
            <w:proofErr w:type="gramEnd"/>
            <w:r w:rsidRPr="009F472D">
              <w:rPr>
                <w:rFonts w:ascii="Arial Narrow" w:hAnsi="Arial Narrow"/>
                <w:color w:val="000000" w:themeColor="text1"/>
                <w:sz w:val="16"/>
                <w:szCs w:val="16"/>
                <w:lang w:val="en-GB"/>
              </w:rPr>
              <w:t xml:space="preserve">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ISIC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CEPA and </w:t>
            </w:r>
            <w:proofErr w:type="spellStart"/>
            <w:r w:rsidRPr="009F472D">
              <w:rPr>
                <w:rFonts w:ascii="Arial Narrow" w:hAnsi="Arial Narrow"/>
                <w:color w:val="000000" w:themeColor="text1"/>
                <w:sz w:val="16"/>
                <w:szCs w:val="16"/>
                <w:lang w:val="en-GB"/>
              </w:rPr>
              <w:t>CReMA</w:t>
            </w:r>
            <w:proofErr w:type="spellEnd"/>
            <w:r w:rsidRPr="009F472D">
              <w:rPr>
                <w:rFonts w:ascii="Arial Narrow" w:hAnsi="Arial Narrow"/>
                <w:color w:val="000000" w:themeColor="text1"/>
                <w:sz w:val="16"/>
                <w:szCs w:val="16"/>
                <w:lang w:val="en-GB"/>
              </w:rPr>
              <w:t xml:space="preserve"> </w:t>
            </w:r>
          </w:p>
        </w:tc>
        <w:tc>
          <w:tcPr>
            <w:tcW w:w="466" w:type="pct"/>
            <w:tcBorders>
              <w:top w:val="nil"/>
              <w:left w:val="nil"/>
              <w:bottom w:val="nil"/>
              <w:right w:val="nil"/>
            </w:tcBorders>
            <w:tcMar>
              <w:top w:w="57" w:type="dxa"/>
              <w:left w:w="85" w:type="dxa"/>
              <w:bottom w:w="28" w:type="dxa"/>
              <w:right w:w="85" w:type="dxa"/>
            </w:tcMar>
            <w:hideMark/>
          </w:tcPr>
          <w:p w:rsidRPr="009F472D" w:rsidR="00BF1B84" w:rsidP="009E7D92" w:rsidRDefault="00BF1B84" w14:paraId="17BA0A23"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Country reporting,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9F472D" w:rsidR="00BF1B84" w:rsidP="00373C7D" w:rsidRDefault="00BF1B84" w14:paraId="17BA0A24" w14:textId="780474E0">
            <w:pPr>
              <w:spacing w:line="240" w:lineRule="auto"/>
              <w:jc w:val="left"/>
              <w:rPr>
                <w:rFonts w:ascii="Arial Narrow" w:hAnsi="Arial Narrow"/>
                <w:color w:val="000000"/>
                <w:sz w:val="16"/>
                <w:szCs w:val="16"/>
                <w:lang w:val="fr-FR"/>
              </w:rPr>
            </w:pPr>
            <w:proofErr w:type="gramStart"/>
            <w:r w:rsidRPr="009F472D">
              <w:rPr>
                <w:rFonts w:ascii="Arial Narrow" w:hAnsi="Arial Narrow"/>
                <w:color w:val="000000" w:themeColor="text1"/>
                <w:sz w:val="16"/>
                <w:szCs w:val="16"/>
                <w:lang w:val="fr-FR"/>
              </w:rPr>
              <w:t>Eurostat:</w:t>
            </w:r>
            <w:proofErr w:type="gramEnd"/>
            <w:r w:rsidRPr="009F472D">
              <w:rPr>
                <w:rFonts w:ascii="Arial Narrow" w:hAnsi="Arial Narrow"/>
                <w:color w:val="000000" w:themeColor="text1"/>
                <w:sz w:val="16"/>
                <w:szCs w:val="16"/>
                <w:lang w:val="fr-FR"/>
              </w:rPr>
              <w:t xml:space="preserve"> </w:t>
            </w:r>
            <w:r w:rsidRPr="009F472D">
              <w:rPr>
                <w:rFonts w:ascii="Arial Narrow" w:hAnsi="Arial Narrow"/>
                <w:sz w:val="16"/>
                <w:szCs w:val="16"/>
                <w:lang w:val="fr-FR"/>
              </w:rPr>
              <w:br/>
            </w:r>
            <w:hyperlink w:history="1" r:id="rId31">
              <w:r w:rsidRPr="00CB07A0" w:rsidR="00190D80">
                <w:rPr>
                  <w:rStyle w:val="Hyperlink"/>
                  <w:rFonts w:ascii="Arial Narrow" w:hAnsi="Arial Narrow"/>
                  <w:sz w:val="16"/>
                  <w:szCs w:val="16"/>
                  <w:lang w:val="fr-FR"/>
                </w:rPr>
                <w:t>http://ec.europa.eu/eurostat/data/database</w:t>
              </w:r>
            </w:hyperlink>
            <w:r w:rsidR="00190D80">
              <w:rPr>
                <w:rFonts w:ascii="Arial Narrow" w:hAnsi="Arial Narrow"/>
                <w:color w:val="000000" w:themeColor="text1"/>
                <w:sz w:val="16"/>
                <w:szCs w:val="16"/>
                <w:lang w:val="fr-FR"/>
              </w:rPr>
              <w:t xml:space="preserve"> </w:t>
            </w:r>
            <w:r w:rsidRPr="009F472D">
              <w:rPr>
                <w:rFonts w:ascii="Arial Narrow" w:hAnsi="Arial Narrow"/>
                <w:color w:val="000000" w:themeColor="text1"/>
                <w:sz w:val="16"/>
                <w:szCs w:val="16"/>
                <w:lang w:val="fr-FR"/>
              </w:rPr>
              <w:t xml:space="preserve"> , tables </w:t>
            </w:r>
            <w:r w:rsidRPr="009F472D">
              <w:rPr>
                <w:rFonts w:ascii="Arial Narrow" w:hAnsi="Arial Narrow"/>
                <w:sz w:val="16"/>
                <w:szCs w:val="16"/>
                <w:lang w:val="fr-FR"/>
              </w:rPr>
              <w:br/>
            </w:r>
            <w:r w:rsidRPr="009F472D">
              <w:rPr>
                <w:rFonts w:ascii="Arial Narrow" w:hAnsi="Arial Narrow"/>
                <w:color w:val="000000" w:themeColor="text1"/>
                <w:sz w:val="16"/>
                <w:szCs w:val="16"/>
                <w:lang w:val="fr-FR"/>
              </w:rPr>
              <w:t>env_ac_egss1</w:t>
            </w:r>
            <w:r w:rsidR="00373C7D">
              <w:rPr>
                <w:rFonts w:ascii="Arial Narrow" w:hAnsi="Arial Narrow"/>
                <w:color w:val="000000" w:themeColor="text1"/>
                <w:sz w:val="16"/>
                <w:szCs w:val="16"/>
                <w:lang w:val="fr-FR"/>
              </w:rPr>
              <w:t xml:space="preserve">, </w:t>
            </w:r>
            <w:r w:rsidRPr="009F472D">
              <w:rPr>
                <w:rFonts w:ascii="Arial Narrow" w:hAnsi="Arial Narrow"/>
                <w:color w:val="000000" w:themeColor="text1"/>
                <w:sz w:val="16"/>
                <w:szCs w:val="16"/>
                <w:lang w:val="fr-FR"/>
              </w:rPr>
              <w:t>env_ac_egss2</w:t>
            </w:r>
            <w:r w:rsidR="00373C7D">
              <w:rPr>
                <w:rFonts w:ascii="Arial Narrow" w:hAnsi="Arial Narrow"/>
                <w:color w:val="000000" w:themeColor="text1"/>
                <w:sz w:val="16"/>
                <w:szCs w:val="16"/>
                <w:lang w:val="fr-FR"/>
              </w:rPr>
              <w:t xml:space="preserve">, </w:t>
            </w:r>
            <w:r w:rsidRPr="009F472D">
              <w:rPr>
                <w:rFonts w:ascii="Arial Narrow" w:hAnsi="Arial Narrow"/>
                <w:color w:val="000000" w:themeColor="text1"/>
                <w:sz w:val="16"/>
                <w:szCs w:val="16"/>
                <w:lang w:val="fr-FR"/>
              </w:rPr>
              <w:t xml:space="preserve">env_ac_egss3 </w:t>
            </w:r>
          </w:p>
        </w:tc>
        <w:tc>
          <w:tcPr>
            <w:tcW w:w="627" w:type="pct"/>
            <w:tcBorders>
              <w:top w:val="nil"/>
              <w:left w:val="nil"/>
              <w:bottom w:val="nil"/>
              <w:right w:val="nil"/>
            </w:tcBorders>
            <w:tcMar>
              <w:top w:w="57" w:type="dxa"/>
              <w:left w:w="85" w:type="dxa"/>
              <w:bottom w:w="28" w:type="dxa"/>
              <w:right w:w="85" w:type="dxa"/>
            </w:tcMar>
            <w:hideMark/>
          </w:tcPr>
          <w:p w:rsidRPr="009F472D" w:rsidR="00BF1B84" w:rsidP="009F472D" w:rsidRDefault="00BF1B84" w14:paraId="17BA0A25"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SEEA Central Framework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manual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compilation guide </w:t>
            </w:r>
          </w:p>
        </w:tc>
      </w:tr>
      <w:tr w:rsidRPr="009F472D" w:rsidR="00E96257" w:rsidTr="00E96257" w14:paraId="17BA0A2F"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27" w14:textId="77777777">
            <w:pPr>
              <w:spacing w:line="240" w:lineRule="auto"/>
              <w:jc w:val="left"/>
              <w:rPr>
                <w:rFonts w:ascii="Arial Narrow" w:hAnsi="Arial Narrow"/>
                <w:b/>
                <w:i/>
                <w:color w:val="000000"/>
                <w:sz w:val="16"/>
                <w:szCs w:val="16"/>
                <w:lang w:val="en-GB"/>
              </w:rPr>
            </w:pPr>
            <w:r w:rsidRPr="009F472D">
              <w:rPr>
                <w:rFonts w:ascii="Arial Narrow" w:hAnsi="Arial Narrow"/>
                <w:b/>
                <w:i/>
                <w:color w:val="000000"/>
                <w:sz w:val="16"/>
                <w:szCs w:val="16"/>
                <w:lang w:val="en-GB"/>
              </w:rPr>
              <w:t xml:space="preserve">Environmental protection expenditure accounts (EPEA) </w:t>
            </w:r>
          </w:p>
        </w:tc>
        <w:tc>
          <w:tcPr>
            <w:tcW w:w="254"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RDefault="00BF1B84" w14:paraId="17BA0A28"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29" w14:textId="77777777">
            <w:pPr>
              <w:spacing w:line="240" w:lineRule="auto"/>
              <w:jc w:val="left"/>
              <w:rPr>
                <w:rFonts w:ascii="Arial Narrow" w:hAnsi="Arial Narrow"/>
                <w:i/>
                <w:color w:val="000000"/>
                <w:sz w:val="16"/>
                <w:szCs w:val="16"/>
                <w:lang w:val="en-GB"/>
              </w:rPr>
            </w:pPr>
            <w:r w:rsidRPr="009F472D">
              <w:rPr>
                <w:rFonts w:ascii="Arial Narrow" w:hAnsi="Arial Narrow"/>
                <w:i/>
                <w:color w:val="000000"/>
                <w:sz w:val="16"/>
                <w:szCs w:val="16"/>
                <w:lang w:val="en-GB"/>
              </w:rPr>
              <w:t xml:space="preserve">EU countries </w:t>
            </w:r>
          </w:p>
        </w:tc>
        <w:tc>
          <w:tcPr>
            <w:tcW w:w="328"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F564FF" w:rsidRDefault="00BF1B84" w14:paraId="17BA0A2A"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2006-2018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2B" w14:textId="77777777">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Final and intermediate consumption, GFCF, imports, output, others.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Institutional sector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ISIC for some variables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CEPA and </w:t>
            </w:r>
            <w:proofErr w:type="spellStart"/>
            <w:r w:rsidRPr="009F472D">
              <w:rPr>
                <w:rFonts w:ascii="Arial Narrow" w:hAnsi="Arial Narrow"/>
                <w:color w:val="000000" w:themeColor="text1"/>
                <w:sz w:val="16"/>
                <w:szCs w:val="16"/>
                <w:lang w:val="en-GB"/>
              </w:rPr>
              <w:t>CReMA</w:t>
            </w:r>
            <w:proofErr w:type="spellEnd"/>
            <w:r w:rsidRPr="009F472D">
              <w:rPr>
                <w:rFonts w:ascii="Arial Narrow" w:hAnsi="Arial Narrow"/>
                <w:color w:val="000000" w:themeColor="text1"/>
                <w:sz w:val="16"/>
                <w:szCs w:val="16"/>
                <w:lang w:val="en-GB"/>
              </w:rPr>
              <w:t xml:space="preserve"> </w:t>
            </w:r>
          </w:p>
        </w:tc>
        <w:tc>
          <w:tcPr>
            <w:tcW w:w="466"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E7D92" w:rsidRDefault="00BF1B84" w14:paraId="17BA0A2C"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Country reporting,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9F472D" w:rsidR="00BF1B84" w:rsidP="006E6EF2" w:rsidRDefault="00BF1B84" w14:paraId="17BA0A2D" w14:textId="78B5C782">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Eurostat: </w:t>
            </w:r>
            <w:r w:rsidRPr="009F472D">
              <w:rPr>
                <w:rFonts w:ascii="Arial Narrow" w:hAnsi="Arial Narrow"/>
                <w:sz w:val="16"/>
                <w:szCs w:val="16"/>
              </w:rPr>
              <w:br/>
            </w:r>
            <w:proofErr w:type="gramStart"/>
            <w:r w:rsidRPr="009F472D">
              <w:rPr>
                <w:rFonts w:ascii="Arial Narrow" w:hAnsi="Arial Narrow"/>
                <w:color w:val="000000" w:themeColor="text1"/>
                <w:sz w:val="16"/>
                <w:szCs w:val="16"/>
                <w:lang w:val="en-GB"/>
              </w:rPr>
              <w:t>http://ec.europa.eu/eurostat/data/database ,</w:t>
            </w:r>
            <w:proofErr w:type="gramEnd"/>
            <w:r w:rsidRPr="009F472D">
              <w:rPr>
                <w:rFonts w:ascii="Arial Narrow" w:hAnsi="Arial Narrow"/>
                <w:color w:val="000000" w:themeColor="text1"/>
                <w:sz w:val="16"/>
                <w:szCs w:val="16"/>
                <w:lang w:val="en-GB"/>
              </w:rPr>
              <w:t xml:space="preserve"> tables </w:t>
            </w:r>
            <w:r w:rsidRPr="009F472D">
              <w:rPr>
                <w:rFonts w:ascii="Arial Narrow" w:hAnsi="Arial Narrow"/>
                <w:sz w:val="16"/>
                <w:szCs w:val="16"/>
              </w:rPr>
              <w:br/>
            </w:r>
            <w:proofErr w:type="spellStart"/>
            <w:r w:rsidRPr="009F472D">
              <w:rPr>
                <w:rFonts w:ascii="Arial Narrow" w:hAnsi="Arial Narrow"/>
                <w:color w:val="000000" w:themeColor="text1"/>
                <w:sz w:val="16"/>
                <w:szCs w:val="16"/>
                <w:lang w:val="en-GB"/>
              </w:rPr>
              <w:t>env_ac_epea</w:t>
            </w:r>
            <w:proofErr w:type="spellEnd"/>
            <w:r w:rsidRPr="009F472D">
              <w:rPr>
                <w:rFonts w:ascii="Arial Narrow" w:hAnsi="Arial Narrow"/>
                <w:color w:val="000000" w:themeColor="text1"/>
                <w:sz w:val="16"/>
                <w:szCs w:val="16"/>
                <w:lang w:val="en-GB"/>
              </w:rPr>
              <w:t xml:space="preserve"> and </w:t>
            </w:r>
            <w:r w:rsidRPr="009F472D" w:rsidR="1BC4C493">
              <w:rPr>
                <w:rFonts w:ascii="Arial Narrow" w:hAnsi="Arial Narrow"/>
                <w:color w:val="000000" w:themeColor="text1"/>
                <w:sz w:val="16"/>
                <w:szCs w:val="16"/>
                <w:lang w:val="en-GB"/>
              </w:rPr>
              <w:t>sub tables</w:t>
            </w:r>
          </w:p>
        </w:tc>
        <w:tc>
          <w:tcPr>
            <w:tcW w:w="627"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F472D" w:rsidRDefault="00BF1B84" w14:paraId="17BA0A2E"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SEEA Central Framework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manual </w:t>
            </w:r>
          </w:p>
        </w:tc>
      </w:tr>
      <w:tr w:rsidRPr="009F472D" w:rsidR="00E96257" w:rsidTr="00E96257" w14:paraId="17BA0A38"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30" w14:textId="77777777">
            <w:pPr>
              <w:spacing w:line="240" w:lineRule="auto"/>
              <w:jc w:val="left"/>
              <w:rPr>
                <w:rFonts w:ascii="Arial Narrow" w:hAnsi="Arial Narrow"/>
                <w:b/>
                <w:i/>
                <w:color w:val="000000"/>
                <w:sz w:val="16"/>
                <w:szCs w:val="16"/>
                <w:lang w:val="en-GB"/>
              </w:rPr>
            </w:pPr>
            <w:r w:rsidRPr="009F472D">
              <w:rPr>
                <w:rFonts w:ascii="Arial Narrow" w:hAnsi="Arial Narrow"/>
                <w:b/>
                <w:i/>
                <w:color w:val="000000"/>
                <w:sz w:val="16"/>
                <w:szCs w:val="16"/>
                <w:lang w:val="en-GB"/>
              </w:rPr>
              <w:t xml:space="preserve">Environmental subsidies and similar transfers </w:t>
            </w:r>
          </w:p>
        </w:tc>
        <w:tc>
          <w:tcPr>
            <w:tcW w:w="254" w:type="pct"/>
            <w:tcBorders>
              <w:top w:val="nil"/>
              <w:left w:val="nil"/>
              <w:bottom w:val="nil"/>
              <w:right w:val="nil"/>
            </w:tcBorders>
            <w:tcMar>
              <w:top w:w="57" w:type="dxa"/>
              <w:left w:w="85" w:type="dxa"/>
              <w:bottom w:w="28" w:type="dxa"/>
              <w:right w:w="85" w:type="dxa"/>
            </w:tcMar>
            <w:hideMark/>
          </w:tcPr>
          <w:p w:rsidRPr="009F472D" w:rsidR="00BF1B84" w:rsidRDefault="00BF1B84" w14:paraId="17BA0A31"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32" w14:textId="77777777">
            <w:pPr>
              <w:spacing w:line="240" w:lineRule="auto"/>
              <w:jc w:val="left"/>
              <w:rPr>
                <w:rFonts w:ascii="Arial Narrow" w:hAnsi="Arial Narrow"/>
                <w:i/>
                <w:color w:val="000000"/>
                <w:sz w:val="16"/>
                <w:szCs w:val="16"/>
                <w:lang w:val="en-GB"/>
              </w:rPr>
            </w:pPr>
            <w:r w:rsidRPr="009F472D">
              <w:rPr>
                <w:rFonts w:ascii="Arial Narrow" w:hAnsi="Arial Narrow"/>
                <w:i/>
                <w:color w:val="000000"/>
                <w:sz w:val="16"/>
                <w:szCs w:val="16"/>
                <w:lang w:val="en-GB"/>
              </w:rPr>
              <w:t xml:space="preserve">EU countries </w:t>
            </w:r>
          </w:p>
        </w:tc>
        <w:tc>
          <w:tcPr>
            <w:tcW w:w="328" w:type="pct"/>
            <w:tcBorders>
              <w:top w:val="nil"/>
              <w:left w:val="nil"/>
              <w:bottom w:val="nil"/>
              <w:right w:val="nil"/>
            </w:tcBorders>
            <w:tcMar>
              <w:top w:w="57" w:type="dxa"/>
              <w:left w:w="85" w:type="dxa"/>
              <w:bottom w:w="28" w:type="dxa"/>
              <w:right w:w="85" w:type="dxa"/>
            </w:tcMar>
            <w:hideMark/>
          </w:tcPr>
          <w:p w:rsidRPr="009F472D" w:rsidR="00BF1B84" w:rsidP="00F564FF" w:rsidRDefault="00BF1B84" w14:paraId="17BA0A33"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themeColor="text1"/>
                <w:sz w:val="16"/>
                <w:szCs w:val="16"/>
                <w:lang w:val="en-GB"/>
              </w:rPr>
              <w:t xml:space="preserve">No data published yet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34" w14:textId="77777777">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Institutional sector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ISIC </w:t>
            </w:r>
            <w:r w:rsidRPr="009F472D">
              <w:rPr>
                <w:rFonts w:ascii="Arial Narrow" w:hAnsi="Arial Narrow"/>
                <w:sz w:val="16"/>
                <w:szCs w:val="16"/>
                <w:lang w:val="en-GB"/>
              </w:rPr>
              <w:br/>
            </w:r>
            <w:r w:rsidRPr="009F472D">
              <w:rPr>
                <w:rFonts w:ascii="Arial Narrow" w:hAnsi="Arial Narrow"/>
                <w:color w:val="000000" w:themeColor="text1"/>
                <w:sz w:val="16"/>
                <w:szCs w:val="16"/>
                <w:lang w:val="en-GB"/>
              </w:rPr>
              <w:t xml:space="preserve">CEPA and </w:t>
            </w:r>
            <w:proofErr w:type="spellStart"/>
            <w:r w:rsidRPr="009F472D">
              <w:rPr>
                <w:rFonts w:ascii="Arial Narrow" w:hAnsi="Arial Narrow"/>
                <w:color w:val="000000" w:themeColor="text1"/>
                <w:sz w:val="16"/>
                <w:szCs w:val="16"/>
                <w:lang w:val="en-GB"/>
              </w:rPr>
              <w:t>CReMA</w:t>
            </w:r>
            <w:proofErr w:type="spellEnd"/>
            <w:r w:rsidRPr="009F472D">
              <w:rPr>
                <w:rFonts w:ascii="Arial Narrow" w:hAnsi="Arial Narrow"/>
                <w:color w:val="000000" w:themeColor="text1"/>
                <w:sz w:val="16"/>
                <w:szCs w:val="16"/>
                <w:lang w:val="en-GB"/>
              </w:rPr>
              <w:t xml:space="preserve"> </w:t>
            </w:r>
          </w:p>
        </w:tc>
        <w:tc>
          <w:tcPr>
            <w:tcW w:w="466" w:type="pct"/>
            <w:tcBorders>
              <w:top w:val="nil"/>
              <w:left w:val="nil"/>
              <w:bottom w:val="nil"/>
              <w:right w:val="nil"/>
            </w:tcBorders>
            <w:tcMar>
              <w:top w:w="57" w:type="dxa"/>
              <w:left w:w="85" w:type="dxa"/>
              <w:bottom w:w="28" w:type="dxa"/>
              <w:right w:w="85" w:type="dxa"/>
            </w:tcMar>
            <w:hideMark/>
          </w:tcPr>
          <w:p w:rsidRPr="009F472D" w:rsidR="00BF1B84" w:rsidP="009E7D92" w:rsidRDefault="00BF1B84" w14:paraId="17BA0A35"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Country reporting,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DA44C1" w:rsidR="00BF1B84" w:rsidP="00373C7D" w:rsidRDefault="00373C7D" w14:paraId="5D5625AF" w14:textId="5E04BC65">
            <w:pPr>
              <w:spacing w:line="240" w:lineRule="auto"/>
              <w:rPr>
                <w:rFonts w:ascii="Arial Narrow" w:hAnsi="Arial Narrow"/>
                <w:color w:val="000000"/>
                <w:sz w:val="16"/>
                <w:szCs w:val="16"/>
                <w:lang w:val="fr-FR"/>
              </w:rPr>
            </w:pPr>
            <w:proofErr w:type="gramStart"/>
            <w:r w:rsidRPr="00DA44C1">
              <w:rPr>
                <w:rFonts w:ascii="Arial Narrow" w:hAnsi="Arial Narrow"/>
                <w:color w:val="000000" w:themeColor="text1"/>
                <w:sz w:val="16"/>
                <w:szCs w:val="16"/>
                <w:lang w:val="fr-FR"/>
              </w:rPr>
              <w:t>Eurostat:</w:t>
            </w:r>
            <w:proofErr w:type="gramEnd"/>
            <w:r w:rsidRPr="00DA44C1">
              <w:rPr>
                <w:rFonts w:ascii="Arial Narrow" w:hAnsi="Arial Narrow"/>
                <w:color w:val="000000" w:themeColor="text1"/>
                <w:sz w:val="16"/>
                <w:szCs w:val="16"/>
                <w:lang w:val="fr-FR"/>
              </w:rPr>
              <w:t xml:space="preserve"> </w:t>
            </w:r>
            <w:r w:rsidRPr="00DA44C1">
              <w:rPr>
                <w:rFonts w:ascii="Arial Narrow" w:hAnsi="Arial Narrow"/>
                <w:sz w:val="16"/>
                <w:szCs w:val="16"/>
                <w:lang w:val="fr-FR"/>
              </w:rPr>
              <w:br/>
            </w:r>
            <w:r w:rsidRPr="00DA44C1">
              <w:rPr>
                <w:rFonts w:ascii="Arial Narrow" w:hAnsi="Arial Narrow"/>
                <w:color w:val="000000" w:themeColor="text1"/>
                <w:sz w:val="16"/>
                <w:szCs w:val="16"/>
                <w:lang w:val="fr-FR"/>
              </w:rPr>
              <w:t xml:space="preserve">http://ec.europa.eu/eurostat/data/database , tables </w:t>
            </w:r>
            <w:proofErr w:type="spellStart"/>
            <w:r w:rsidRPr="00DA44C1">
              <w:rPr>
                <w:rFonts w:ascii="Arial Narrow" w:hAnsi="Arial Narrow"/>
                <w:color w:val="000000" w:themeColor="text1"/>
                <w:sz w:val="16"/>
                <w:szCs w:val="16"/>
                <w:lang w:val="fr-FR"/>
              </w:rPr>
              <w:t>env_esst_gg</w:t>
            </w:r>
            <w:proofErr w:type="spellEnd"/>
            <w:r w:rsidRPr="00DA44C1">
              <w:rPr>
                <w:rFonts w:ascii="Arial Narrow" w:hAnsi="Arial Narrow"/>
                <w:color w:val="000000" w:themeColor="text1"/>
                <w:sz w:val="16"/>
                <w:szCs w:val="16"/>
                <w:lang w:val="fr-FR"/>
              </w:rPr>
              <w:t xml:space="preserve">, </w:t>
            </w:r>
            <w:proofErr w:type="spellStart"/>
            <w:r w:rsidRPr="00DA44C1">
              <w:rPr>
                <w:rFonts w:ascii="Arial Narrow" w:hAnsi="Arial Narrow"/>
                <w:color w:val="000000" w:themeColor="text1"/>
                <w:sz w:val="16"/>
                <w:szCs w:val="16"/>
                <w:lang w:val="fr-FR"/>
              </w:rPr>
              <w:t>env_esst_ggcp</w:t>
            </w:r>
            <w:proofErr w:type="spellEnd"/>
            <w:r w:rsidRPr="00DA44C1">
              <w:rPr>
                <w:rFonts w:ascii="Arial Narrow" w:hAnsi="Arial Narrow"/>
                <w:sz w:val="16"/>
                <w:szCs w:val="16"/>
                <w:lang w:val="fr-FR"/>
              </w:rPr>
              <w:br/>
            </w:r>
          </w:p>
          <w:p w:rsidRPr="009F472D" w:rsidR="00373C7D" w:rsidP="00373C7D" w:rsidRDefault="00373C7D" w14:paraId="17BA0A36" w14:textId="2E003323">
            <w:pPr>
              <w:spacing w:line="240" w:lineRule="auto"/>
              <w:rPr>
                <w:rFonts w:ascii="Arial Narrow" w:hAnsi="Arial Narrow"/>
                <w:color w:val="000000"/>
                <w:sz w:val="16"/>
                <w:szCs w:val="16"/>
                <w:lang w:val="en-GB"/>
              </w:rPr>
            </w:pPr>
            <w:r>
              <w:rPr>
                <w:rFonts w:ascii="Arial Narrow" w:hAnsi="Arial Narrow"/>
                <w:color w:val="000000"/>
                <w:sz w:val="16"/>
                <w:szCs w:val="16"/>
                <w:lang w:val="en-GB"/>
              </w:rPr>
              <w:t xml:space="preserve">Data on potentially environmentally </w:t>
            </w:r>
            <w:proofErr w:type="spellStart"/>
            <w:r>
              <w:rPr>
                <w:rFonts w:ascii="Arial Narrow" w:hAnsi="Arial Narrow"/>
                <w:color w:val="000000"/>
                <w:sz w:val="16"/>
                <w:szCs w:val="16"/>
                <w:lang w:val="en-GB"/>
              </w:rPr>
              <w:t>datamaging</w:t>
            </w:r>
            <w:proofErr w:type="spellEnd"/>
            <w:r>
              <w:rPr>
                <w:rFonts w:ascii="Arial Narrow" w:hAnsi="Arial Narrow"/>
                <w:color w:val="000000"/>
                <w:sz w:val="16"/>
                <w:szCs w:val="16"/>
                <w:lang w:val="en-GB"/>
              </w:rPr>
              <w:t xml:space="preserve"> subsidies not published yet (pilot data collection)</w:t>
            </w:r>
          </w:p>
        </w:tc>
        <w:tc>
          <w:tcPr>
            <w:tcW w:w="627" w:type="pct"/>
            <w:tcBorders>
              <w:top w:val="nil"/>
              <w:left w:val="nil"/>
              <w:bottom w:val="nil"/>
              <w:right w:val="nil"/>
            </w:tcBorders>
            <w:tcMar>
              <w:top w:w="57" w:type="dxa"/>
              <w:left w:w="85" w:type="dxa"/>
              <w:bottom w:w="28" w:type="dxa"/>
              <w:right w:w="85" w:type="dxa"/>
            </w:tcMar>
            <w:hideMark/>
          </w:tcPr>
          <w:p w:rsidRPr="009F472D" w:rsidR="00BF1B84" w:rsidP="009F472D" w:rsidRDefault="00BF1B84" w14:paraId="17BA0A37"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SEEA Central Framework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manual </w:t>
            </w:r>
          </w:p>
        </w:tc>
      </w:tr>
      <w:tr w:rsidRPr="009F472D" w:rsidR="00E96257" w:rsidTr="002C37D5" w14:paraId="17BA0A41"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39" w14:textId="77777777">
            <w:pPr>
              <w:spacing w:line="240" w:lineRule="auto"/>
              <w:jc w:val="left"/>
              <w:rPr>
                <w:rFonts w:ascii="Arial Narrow" w:hAnsi="Arial Narrow"/>
                <w:b/>
                <w:i/>
                <w:color w:val="000000"/>
                <w:sz w:val="16"/>
                <w:szCs w:val="16"/>
                <w:lang w:val="en-GB"/>
              </w:rPr>
            </w:pPr>
            <w:r w:rsidRPr="009F472D">
              <w:rPr>
                <w:rFonts w:ascii="Arial Narrow" w:hAnsi="Arial Narrow"/>
                <w:b/>
                <w:i/>
                <w:color w:val="000000"/>
                <w:sz w:val="16"/>
                <w:szCs w:val="16"/>
                <w:lang w:val="en-GB"/>
              </w:rPr>
              <w:t xml:space="preserve">Forest accounts </w:t>
            </w:r>
          </w:p>
        </w:tc>
        <w:tc>
          <w:tcPr>
            <w:tcW w:w="254"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RDefault="00BF1B84" w14:paraId="17BA0A3A" w14:textId="77777777">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465" w:type="pct"/>
            <w:shd w:val="clear" w:color="auto" w:fill="DEEAF6" w:themeFill="accent1" w:themeFillTint="33"/>
            <w:tcMar>
              <w:top w:w="57" w:type="dxa"/>
              <w:left w:w="85" w:type="dxa"/>
              <w:bottom w:w="28" w:type="dxa"/>
              <w:right w:w="85" w:type="dxa"/>
            </w:tcMar>
            <w:hideMark/>
          </w:tcPr>
          <w:p w:rsidRPr="009F472D" w:rsidR="00BF1B84" w:rsidP="009F472D" w:rsidRDefault="00BF1B84" w14:paraId="17BA0A3B" w14:textId="77777777">
            <w:pPr>
              <w:spacing w:line="240" w:lineRule="auto"/>
              <w:jc w:val="left"/>
              <w:rPr>
                <w:rFonts w:ascii="Arial Narrow" w:hAnsi="Arial Narrow"/>
                <w:i/>
                <w:color w:val="000000"/>
                <w:sz w:val="16"/>
                <w:szCs w:val="16"/>
                <w:lang w:val="en-GB"/>
              </w:rPr>
            </w:pPr>
            <w:r w:rsidRPr="009F472D">
              <w:rPr>
                <w:rFonts w:ascii="Arial Narrow" w:hAnsi="Arial Narrow"/>
                <w:i/>
                <w:color w:val="000000"/>
                <w:sz w:val="16"/>
                <w:szCs w:val="16"/>
                <w:lang w:val="en-GB"/>
              </w:rPr>
              <w:t xml:space="preserve">EU countries </w:t>
            </w:r>
          </w:p>
        </w:tc>
        <w:tc>
          <w:tcPr>
            <w:tcW w:w="328"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F564FF" w:rsidRDefault="00BF1B84" w14:paraId="17BA0A3C" w14:textId="345EC388">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lang w:val="en-GB"/>
              </w:rPr>
            </w:pPr>
            <w:r w:rsidRPr="009F472D">
              <w:rPr>
                <w:rFonts w:ascii="Arial Narrow" w:hAnsi="Arial Narrow"/>
                <w:i/>
                <w:color w:val="000000"/>
                <w:sz w:val="16"/>
                <w:szCs w:val="16"/>
                <w:lang w:val="en-GB"/>
              </w:rPr>
              <w:t xml:space="preserve">2012-2017 (some countries back to 1986) </w:t>
            </w:r>
          </w:p>
        </w:tc>
        <w:tc>
          <w:tcPr>
            <w:cnfStyle w:val="000010000000" w:firstRow="0" w:lastRow="0" w:firstColumn="0" w:lastColumn="0" w:oddVBand="1" w:evenVBand="0" w:oddHBand="0" w:evenHBand="0" w:firstRowFirstColumn="0" w:firstRowLastColumn="0" w:lastRowFirstColumn="0" w:lastRowLastColumn="0"/>
            <w:tcW w:w="958" w:type="pct"/>
            <w:shd w:val="clear" w:color="auto" w:fill="DEEAF6" w:themeFill="accent1" w:themeFillTint="33"/>
            <w:noWrap/>
            <w:tcMar>
              <w:top w:w="57" w:type="dxa"/>
              <w:left w:w="85" w:type="dxa"/>
              <w:bottom w:w="28" w:type="dxa"/>
              <w:right w:w="85" w:type="dxa"/>
            </w:tcMar>
            <w:hideMark/>
          </w:tcPr>
          <w:p w:rsidRPr="009F472D" w:rsidR="00BF1B84" w:rsidP="009F472D" w:rsidRDefault="00BF1B84" w14:paraId="17BA0A3D" w14:textId="77777777">
            <w:pPr>
              <w:jc w:val="left"/>
              <w:rPr>
                <w:rFonts w:ascii="Arial Narrow" w:hAnsi="Arial Narrow"/>
                <w:i/>
                <w:color w:val="000000"/>
                <w:sz w:val="16"/>
                <w:szCs w:val="16"/>
                <w:lang w:val="en-GB"/>
              </w:rPr>
            </w:pPr>
          </w:p>
        </w:tc>
        <w:tc>
          <w:tcPr>
            <w:tcW w:w="466"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E7D92" w:rsidRDefault="00BF1B84" w14:paraId="17BA0A3E"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Country reporting, </w:t>
            </w:r>
            <w:r w:rsidRPr="009F472D">
              <w:rPr>
                <w:rFonts w:ascii="Arial Narrow" w:hAnsi="Arial Narrow"/>
                <w:color w:val="000000"/>
                <w:sz w:val="16"/>
                <w:szCs w:val="16"/>
                <w:lang w:val="en-GB"/>
              </w:rPr>
              <w:br/>
            </w:r>
            <w:r w:rsidRPr="009F472D">
              <w:rPr>
                <w:rFonts w:ascii="Arial Narrow" w:hAnsi="Arial Narrow"/>
                <w:color w:val="000000"/>
                <w:sz w:val="16"/>
                <w:szCs w:val="16"/>
                <w:lang w:val="en-GB"/>
              </w:rPr>
              <w:t xml:space="preserve">Eurostat </w:t>
            </w:r>
          </w:p>
        </w:tc>
        <w:tc>
          <w:tcPr>
            <w:cnfStyle w:val="000010000000" w:firstRow="0" w:lastRow="0" w:firstColumn="0" w:lastColumn="0" w:oddVBand="1" w:evenVBand="0" w:oddHBand="0" w:evenHBand="0" w:firstRowFirstColumn="0" w:firstRowLastColumn="0" w:lastRowFirstColumn="0" w:lastRowLastColumn="0"/>
            <w:tcW w:w="1353" w:type="pct"/>
            <w:shd w:val="clear" w:color="auto" w:fill="DEEAF6" w:themeFill="accent1" w:themeFillTint="33"/>
            <w:tcMar>
              <w:top w:w="57" w:type="dxa"/>
              <w:left w:w="85" w:type="dxa"/>
              <w:bottom w:w="28" w:type="dxa"/>
              <w:right w:w="85" w:type="dxa"/>
            </w:tcMar>
            <w:hideMark/>
          </w:tcPr>
          <w:p w:rsidRPr="009F472D" w:rsidR="00BF1B84" w:rsidP="006E6EF2" w:rsidRDefault="00BF1B84" w14:paraId="17BA0A3F" w14:textId="23849181">
            <w:pPr>
              <w:spacing w:line="240" w:lineRule="auto"/>
              <w:jc w:val="left"/>
              <w:rPr>
                <w:rFonts w:ascii="Arial Narrow" w:hAnsi="Arial Narrow"/>
                <w:color w:val="000000"/>
                <w:sz w:val="16"/>
                <w:szCs w:val="16"/>
                <w:lang w:val="en-GB"/>
              </w:rPr>
            </w:pPr>
            <w:r w:rsidRPr="009F472D">
              <w:rPr>
                <w:rFonts w:ascii="Arial Narrow" w:hAnsi="Arial Narrow"/>
                <w:color w:val="000000" w:themeColor="text1"/>
                <w:sz w:val="16"/>
                <w:szCs w:val="16"/>
                <w:lang w:val="en-GB"/>
              </w:rPr>
              <w:t xml:space="preserve">Eurostat: </w:t>
            </w:r>
            <w:r w:rsidRPr="009F472D">
              <w:rPr>
                <w:rFonts w:ascii="Arial Narrow" w:hAnsi="Arial Narrow"/>
                <w:sz w:val="16"/>
                <w:szCs w:val="16"/>
                <w:lang w:val="en-GB"/>
              </w:rPr>
              <w:br/>
            </w:r>
            <w:hyperlink w:history="1" r:id="rId32">
              <w:r w:rsidRPr="00CB07A0" w:rsidR="00190D80">
                <w:rPr>
                  <w:rStyle w:val="Hyperlink"/>
                  <w:rFonts w:ascii="Arial Narrow" w:hAnsi="Arial Narrow"/>
                  <w:sz w:val="16"/>
                  <w:szCs w:val="16"/>
                </w:rPr>
                <w:t>http://ec.europa.eu/eurostat/data/database</w:t>
              </w:r>
            </w:hyperlink>
            <w:r w:rsidR="00190D80">
              <w:rPr>
                <w:rFonts w:ascii="Arial Narrow" w:hAnsi="Arial Narrow"/>
                <w:color w:val="000000" w:themeColor="text1"/>
                <w:sz w:val="16"/>
                <w:szCs w:val="16"/>
                <w:lang w:val="en-GB"/>
              </w:rPr>
              <w:t xml:space="preserve"> </w:t>
            </w:r>
            <w:r w:rsidRPr="009F472D">
              <w:rPr>
                <w:rFonts w:ascii="Arial Narrow" w:hAnsi="Arial Narrow"/>
                <w:color w:val="000000" w:themeColor="text1"/>
                <w:sz w:val="16"/>
                <w:szCs w:val="16"/>
                <w:lang w:val="en-GB"/>
              </w:rPr>
              <w:t xml:space="preserve"> , table </w:t>
            </w:r>
            <w:r w:rsidRPr="009F472D">
              <w:rPr>
                <w:rFonts w:ascii="Arial Narrow" w:hAnsi="Arial Narrow"/>
                <w:sz w:val="16"/>
                <w:szCs w:val="16"/>
                <w:lang w:val="en-GB"/>
              </w:rPr>
              <w:br/>
            </w:r>
            <w:proofErr w:type="spellStart"/>
            <w:r w:rsidRPr="009F472D">
              <w:rPr>
                <w:rFonts w:ascii="Arial Narrow" w:hAnsi="Arial Narrow"/>
                <w:color w:val="000000" w:themeColor="text1"/>
                <w:sz w:val="16"/>
                <w:szCs w:val="16"/>
                <w:lang w:val="en-GB"/>
              </w:rPr>
              <w:t>for_eaf</w:t>
            </w:r>
            <w:proofErr w:type="spellEnd"/>
            <w:r w:rsidRPr="009F472D">
              <w:rPr>
                <w:rFonts w:ascii="Arial Narrow" w:hAnsi="Arial Narrow"/>
                <w:color w:val="000000" w:themeColor="text1"/>
                <w:sz w:val="16"/>
                <w:szCs w:val="16"/>
                <w:lang w:val="en-GB"/>
              </w:rPr>
              <w:t xml:space="preserve"> </w:t>
            </w:r>
          </w:p>
        </w:tc>
        <w:tc>
          <w:tcPr>
            <w:tcW w:w="627" w:type="pct"/>
            <w:tcBorders>
              <w:top w:val="nil"/>
              <w:left w:val="nil"/>
              <w:bottom w:val="nil"/>
              <w:right w:val="nil"/>
            </w:tcBorders>
            <w:shd w:val="clear" w:color="auto" w:fill="EDF0F7"/>
            <w:tcMar>
              <w:top w:w="57" w:type="dxa"/>
              <w:left w:w="85" w:type="dxa"/>
              <w:bottom w:w="28" w:type="dxa"/>
              <w:right w:w="85" w:type="dxa"/>
            </w:tcMar>
            <w:hideMark/>
          </w:tcPr>
          <w:p w:rsidRPr="009F472D" w:rsidR="00BF1B84" w:rsidP="009F472D" w:rsidRDefault="00BF1B84" w14:paraId="17BA0A40"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lang w:val="en-GB"/>
              </w:rPr>
            </w:pPr>
            <w:r w:rsidRPr="009F472D">
              <w:rPr>
                <w:rFonts w:ascii="Arial Narrow" w:hAnsi="Arial Narrow"/>
                <w:color w:val="000000"/>
                <w:sz w:val="16"/>
                <w:szCs w:val="16"/>
                <w:lang w:val="en-GB"/>
              </w:rPr>
              <w:t xml:space="preserve">SEEA Central Framework </w:t>
            </w:r>
          </w:p>
        </w:tc>
      </w:tr>
      <w:tr w:rsidRPr="009F472D" w:rsidR="00E96257" w:rsidTr="002C37D5" w14:paraId="4DD45F89" w14:textId="77777777">
        <w:trPr>
          <w:jc w:val="center"/>
        </w:trPr>
        <w:tc>
          <w:tcPr>
            <w:cnfStyle w:val="000010000000" w:firstRow="0" w:lastRow="0" w:firstColumn="0" w:lastColumn="0" w:oddVBand="1" w:evenVBand="0" w:oddHBand="0" w:evenHBand="0" w:firstRowFirstColumn="0" w:firstRowLastColumn="0" w:lastRowFirstColumn="0" w:lastRowLastColumn="0"/>
            <w:tcW w:w="549" w:type="pct"/>
            <w:tcBorders>
              <w:bottom w:val="single" w:color="auto" w:sz="12" w:space="0"/>
            </w:tcBorders>
            <w:shd w:val="clear" w:color="auto" w:fill="DEEAF6" w:themeFill="accent1" w:themeFillTint="33"/>
            <w:tcMar>
              <w:top w:w="57" w:type="dxa"/>
              <w:left w:w="85" w:type="dxa"/>
              <w:bottom w:w="28" w:type="dxa"/>
              <w:right w:w="85" w:type="dxa"/>
            </w:tcMar>
          </w:tcPr>
          <w:p w:rsidRPr="009F472D" w:rsidR="005409F9" w:rsidP="009F472D" w:rsidRDefault="25CD73AE" w14:paraId="1EC64D6B" w14:textId="328E2E7C">
            <w:pPr>
              <w:spacing w:line="240" w:lineRule="auto"/>
              <w:jc w:val="left"/>
              <w:rPr>
                <w:rFonts w:ascii="Arial Narrow" w:hAnsi="Arial Narrow"/>
                <w:b/>
                <w:bCs/>
                <w:i/>
                <w:iCs/>
                <w:color w:val="000000"/>
                <w:sz w:val="16"/>
                <w:szCs w:val="16"/>
              </w:rPr>
            </w:pPr>
            <w:r w:rsidRPr="009F472D">
              <w:rPr>
                <w:rFonts w:ascii="Arial Narrow" w:hAnsi="Arial Narrow"/>
                <w:b/>
                <w:bCs/>
                <w:i/>
                <w:iCs/>
                <w:color w:val="000000" w:themeColor="text1"/>
                <w:sz w:val="16"/>
                <w:szCs w:val="16"/>
              </w:rPr>
              <w:lastRenderedPageBreak/>
              <w:t>Ecosystem accounts</w:t>
            </w:r>
            <w:r w:rsidRPr="009F472D" w:rsidR="008458A1">
              <w:rPr>
                <w:rFonts w:ascii="Arial Narrow" w:hAnsi="Arial Narrow"/>
                <w:b/>
                <w:bCs/>
                <w:i/>
                <w:iCs/>
                <w:color w:val="000000" w:themeColor="text1"/>
                <w:sz w:val="16"/>
                <w:szCs w:val="16"/>
              </w:rPr>
              <w:t xml:space="preserve"> (extent, condition (for forest), and select services currently available)</w:t>
            </w:r>
          </w:p>
        </w:tc>
        <w:tc>
          <w:tcPr>
            <w:tcW w:w="254" w:type="pct"/>
            <w:tcBorders>
              <w:top w:val="nil"/>
              <w:left w:val="nil"/>
              <w:bottom w:val="single" w:color="auto" w:sz="12" w:space="0"/>
              <w:right w:val="nil"/>
            </w:tcBorders>
            <w:shd w:val="clear" w:color="auto" w:fill="auto"/>
            <w:tcMar>
              <w:top w:w="57" w:type="dxa"/>
              <w:left w:w="85" w:type="dxa"/>
              <w:bottom w:w="28" w:type="dxa"/>
              <w:right w:w="85" w:type="dxa"/>
            </w:tcMar>
          </w:tcPr>
          <w:p w:rsidRPr="009F472D" w:rsidR="005409F9" w:rsidP="005409F9" w:rsidRDefault="005409F9" w14:paraId="3894D56B" w14:textId="51DAAEA6">
            <w:pPr>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rPr>
            </w:pPr>
            <w:r w:rsidRPr="009F472D">
              <w:rPr>
                <w:rFonts w:ascii="Arial Narrow" w:hAnsi="Arial Narrow"/>
                <w:i/>
                <w:color w:val="000000" w:themeColor="text1"/>
                <w:sz w:val="16"/>
                <w:szCs w:val="16"/>
              </w:rPr>
              <w:t>UNSD</w:t>
            </w:r>
          </w:p>
        </w:tc>
        <w:tc>
          <w:tcPr>
            <w:cnfStyle w:val="000010000000" w:firstRow="0" w:lastRow="0" w:firstColumn="0" w:lastColumn="0" w:oddVBand="1" w:evenVBand="0" w:oddHBand="0" w:evenHBand="0" w:firstRowFirstColumn="0" w:firstRowLastColumn="0" w:lastRowFirstColumn="0" w:lastRowLastColumn="0"/>
            <w:tcW w:w="465" w:type="pct"/>
            <w:tcBorders>
              <w:bottom w:val="single" w:color="auto" w:sz="12" w:space="0"/>
            </w:tcBorders>
            <w:shd w:val="clear" w:color="auto" w:fill="DEEAF6" w:themeFill="accent1" w:themeFillTint="33"/>
            <w:tcMar>
              <w:top w:w="57" w:type="dxa"/>
              <w:left w:w="85" w:type="dxa"/>
              <w:bottom w:w="28" w:type="dxa"/>
              <w:right w:w="85" w:type="dxa"/>
            </w:tcMar>
          </w:tcPr>
          <w:p w:rsidRPr="009F472D" w:rsidR="005409F9" w:rsidP="009F472D" w:rsidRDefault="005409F9" w14:paraId="40CC31A7" w14:textId="4D6AE4C1">
            <w:pPr>
              <w:spacing w:line="240" w:lineRule="auto"/>
              <w:jc w:val="left"/>
              <w:rPr>
                <w:rFonts w:ascii="Arial Narrow" w:hAnsi="Arial Narrow"/>
                <w:i/>
                <w:color w:val="000000"/>
                <w:sz w:val="16"/>
                <w:szCs w:val="16"/>
              </w:rPr>
            </w:pPr>
            <w:r w:rsidRPr="009F472D">
              <w:rPr>
                <w:rFonts w:ascii="Arial Narrow" w:hAnsi="Arial Narrow"/>
                <w:i/>
                <w:color w:val="000000" w:themeColor="text1"/>
                <w:sz w:val="16"/>
                <w:szCs w:val="16"/>
              </w:rPr>
              <w:t>Global</w:t>
            </w:r>
          </w:p>
        </w:tc>
        <w:tc>
          <w:tcPr>
            <w:tcW w:w="328" w:type="pct"/>
            <w:tcBorders>
              <w:top w:val="nil"/>
              <w:left w:val="nil"/>
              <w:bottom w:val="single" w:color="auto" w:sz="12" w:space="0"/>
              <w:right w:val="nil"/>
            </w:tcBorders>
            <w:shd w:val="clear" w:color="auto" w:fill="auto"/>
            <w:tcMar>
              <w:top w:w="57" w:type="dxa"/>
              <w:left w:w="85" w:type="dxa"/>
              <w:bottom w:w="28" w:type="dxa"/>
              <w:right w:w="85" w:type="dxa"/>
            </w:tcMar>
          </w:tcPr>
          <w:p w:rsidRPr="009F472D" w:rsidR="005409F9" w:rsidP="00F564FF" w:rsidRDefault="005409F9" w14:paraId="7499ADF4" w14:textId="18D6A0C6">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i/>
                <w:color w:val="000000"/>
                <w:sz w:val="16"/>
                <w:szCs w:val="16"/>
              </w:rPr>
            </w:pPr>
            <w:r w:rsidRPr="009F472D">
              <w:rPr>
                <w:rFonts w:ascii="Arial Narrow" w:hAnsi="Arial Narrow"/>
                <w:i/>
                <w:color w:val="000000" w:themeColor="text1"/>
                <w:sz w:val="16"/>
                <w:szCs w:val="16"/>
              </w:rPr>
              <w:t>1992-2019</w:t>
            </w:r>
          </w:p>
        </w:tc>
        <w:tc>
          <w:tcPr>
            <w:cnfStyle w:val="000010000000" w:firstRow="0" w:lastRow="0" w:firstColumn="0" w:lastColumn="0" w:oddVBand="1" w:evenVBand="0" w:oddHBand="0" w:evenHBand="0" w:firstRowFirstColumn="0" w:firstRowLastColumn="0" w:lastRowFirstColumn="0" w:lastRowLastColumn="0"/>
            <w:tcW w:w="958" w:type="pct"/>
            <w:tcBorders>
              <w:bottom w:val="single" w:color="auto" w:sz="12" w:space="0"/>
            </w:tcBorders>
            <w:shd w:val="clear" w:color="auto" w:fill="DEEAF6" w:themeFill="accent1" w:themeFillTint="33"/>
            <w:noWrap/>
            <w:tcMar>
              <w:top w:w="57" w:type="dxa"/>
              <w:left w:w="85" w:type="dxa"/>
              <w:bottom w:w="28" w:type="dxa"/>
              <w:right w:w="85" w:type="dxa"/>
            </w:tcMar>
          </w:tcPr>
          <w:p w:rsidRPr="009F472D" w:rsidR="005409F9" w:rsidP="009F472D" w:rsidRDefault="005409F9" w14:paraId="7CE28B8A" w14:textId="77777777">
            <w:pPr>
              <w:spacing w:line="240" w:lineRule="auto"/>
              <w:jc w:val="left"/>
              <w:rPr>
                <w:rFonts w:ascii="Arial Narrow" w:hAnsi="Arial Narrow"/>
                <w:color w:val="000000" w:themeColor="text1"/>
                <w:sz w:val="16"/>
                <w:szCs w:val="16"/>
              </w:rPr>
            </w:pPr>
            <w:r w:rsidRPr="009F472D">
              <w:rPr>
                <w:rFonts w:ascii="Arial Narrow" w:hAnsi="Arial Narrow"/>
                <w:color w:val="000000" w:themeColor="text1"/>
                <w:sz w:val="16"/>
                <w:szCs w:val="16"/>
              </w:rPr>
              <w:t xml:space="preserve">ISIC Rev4 </w:t>
            </w:r>
            <w:r w:rsidRPr="009F472D">
              <w:rPr>
                <w:rFonts w:ascii="Arial Narrow" w:hAnsi="Arial Narrow"/>
                <w:sz w:val="16"/>
                <w:szCs w:val="16"/>
              </w:rPr>
              <w:br/>
            </w:r>
            <w:r w:rsidRPr="009F472D">
              <w:rPr>
                <w:rFonts w:ascii="Arial Narrow" w:hAnsi="Arial Narrow"/>
                <w:color w:val="000000" w:themeColor="text1"/>
                <w:sz w:val="16"/>
                <w:szCs w:val="16"/>
              </w:rPr>
              <w:t>Households</w:t>
            </w:r>
          </w:p>
          <w:p w:rsidRPr="009F472D" w:rsidR="005409F9" w:rsidP="009F472D" w:rsidRDefault="005409F9" w14:paraId="1A103581" w14:textId="77777777">
            <w:pPr>
              <w:spacing w:line="240" w:lineRule="auto"/>
              <w:jc w:val="left"/>
              <w:rPr>
                <w:rFonts w:ascii="Arial Narrow" w:hAnsi="Arial Narrow"/>
                <w:i/>
                <w:color w:val="000000" w:themeColor="text1"/>
                <w:sz w:val="16"/>
                <w:szCs w:val="16"/>
              </w:rPr>
            </w:pPr>
            <w:r w:rsidRPr="009F472D">
              <w:rPr>
                <w:rFonts w:ascii="Arial Narrow" w:hAnsi="Arial Narrow"/>
                <w:i/>
                <w:color w:val="000000" w:themeColor="text1"/>
                <w:sz w:val="16"/>
                <w:szCs w:val="16"/>
              </w:rPr>
              <w:t>SEEA CF Land cover interim classification</w:t>
            </w:r>
          </w:p>
          <w:p w:rsidRPr="009F472D" w:rsidR="005409F9" w:rsidP="009F472D" w:rsidRDefault="005409F9" w14:paraId="46B3651F" w14:textId="7AE15FD0">
            <w:pPr>
              <w:jc w:val="left"/>
              <w:rPr>
                <w:rFonts w:ascii="Arial Narrow" w:hAnsi="Arial Narrow"/>
                <w:i/>
                <w:color w:val="000000"/>
                <w:sz w:val="16"/>
                <w:szCs w:val="16"/>
              </w:rPr>
            </w:pPr>
            <w:r w:rsidRPr="009F472D">
              <w:rPr>
                <w:rFonts w:ascii="Arial Narrow" w:hAnsi="Arial Narrow"/>
                <w:i/>
                <w:color w:val="000000" w:themeColor="text1"/>
                <w:sz w:val="16"/>
                <w:szCs w:val="16"/>
              </w:rPr>
              <w:t>IUCN Global Ecosystem Typology</w:t>
            </w:r>
          </w:p>
        </w:tc>
        <w:tc>
          <w:tcPr>
            <w:tcW w:w="466" w:type="pct"/>
            <w:tcBorders>
              <w:top w:val="nil"/>
              <w:left w:val="nil"/>
              <w:bottom w:val="single" w:color="auto" w:sz="12" w:space="0"/>
              <w:right w:val="nil"/>
            </w:tcBorders>
            <w:shd w:val="clear" w:color="auto" w:fill="auto"/>
            <w:tcMar>
              <w:top w:w="57" w:type="dxa"/>
              <w:left w:w="85" w:type="dxa"/>
              <w:bottom w:w="28" w:type="dxa"/>
              <w:right w:w="85" w:type="dxa"/>
            </w:tcMar>
          </w:tcPr>
          <w:p w:rsidRPr="009F472D" w:rsidR="005409F9" w:rsidP="009E7D92" w:rsidRDefault="005409F9" w14:paraId="6B3B3D49" w14:textId="3325B97B">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sidRPr="009F472D">
              <w:rPr>
                <w:rFonts w:ascii="Arial Narrow" w:hAnsi="Arial Narrow"/>
                <w:color w:val="000000" w:themeColor="text1"/>
                <w:sz w:val="16"/>
                <w:szCs w:val="16"/>
              </w:rPr>
              <w:t>Global datasets and models</w:t>
            </w:r>
          </w:p>
        </w:tc>
        <w:tc>
          <w:tcPr>
            <w:cnfStyle w:val="000010000000" w:firstRow="0" w:lastRow="0" w:firstColumn="0" w:lastColumn="0" w:oddVBand="1" w:evenVBand="0" w:oddHBand="0" w:evenHBand="0" w:firstRowFirstColumn="0" w:firstRowLastColumn="0" w:lastRowFirstColumn="0" w:lastRowLastColumn="0"/>
            <w:tcW w:w="1353" w:type="pct"/>
            <w:tcBorders>
              <w:bottom w:val="single" w:color="auto" w:sz="12" w:space="0"/>
            </w:tcBorders>
            <w:shd w:val="clear" w:color="auto" w:fill="DEEAF6" w:themeFill="accent1" w:themeFillTint="33"/>
            <w:tcMar>
              <w:top w:w="57" w:type="dxa"/>
              <w:left w:w="85" w:type="dxa"/>
              <w:bottom w:w="28" w:type="dxa"/>
              <w:right w:w="85" w:type="dxa"/>
            </w:tcMar>
          </w:tcPr>
          <w:p w:rsidRPr="009F472D" w:rsidR="005409F9" w:rsidP="005409F9" w:rsidRDefault="0089620C" w14:paraId="5AAB105B" w14:textId="49497488">
            <w:pPr>
              <w:spacing w:line="240" w:lineRule="auto"/>
              <w:jc w:val="left"/>
              <w:rPr>
                <w:rFonts w:ascii="Arial Narrow" w:hAnsi="Arial Narrow"/>
                <w:color w:val="000000" w:themeColor="text1"/>
                <w:sz w:val="16"/>
                <w:szCs w:val="16"/>
              </w:rPr>
            </w:pPr>
            <w:hyperlink w:history="1" r:id="rId33">
              <w:r w:rsidRPr="009F472D" w:rsidR="005409F9">
                <w:rPr>
                  <w:rStyle w:val="Hyperlink"/>
                  <w:rFonts w:ascii="Arial Narrow" w:hAnsi="Arial Narrow"/>
                  <w:sz w:val="16"/>
                  <w:szCs w:val="16"/>
                </w:rPr>
                <w:t>https://seea.un.org/content/aries-for-seea</w:t>
              </w:r>
            </w:hyperlink>
          </w:p>
        </w:tc>
        <w:tc>
          <w:tcPr>
            <w:tcW w:w="627" w:type="pct"/>
            <w:tcBorders>
              <w:top w:val="nil"/>
              <w:left w:val="nil"/>
              <w:bottom w:val="single" w:color="auto" w:sz="12" w:space="0"/>
              <w:right w:val="nil"/>
            </w:tcBorders>
            <w:shd w:val="clear" w:color="auto" w:fill="auto"/>
            <w:tcMar>
              <w:top w:w="57" w:type="dxa"/>
              <w:left w:w="85" w:type="dxa"/>
              <w:bottom w:w="28" w:type="dxa"/>
              <w:right w:w="85" w:type="dxa"/>
            </w:tcMar>
          </w:tcPr>
          <w:p w:rsidR="005409F9" w:rsidP="009F472D" w:rsidRDefault="005409F9" w14:paraId="1C7D9C7A" w14:textId="77777777">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9F472D">
              <w:rPr>
                <w:rFonts w:ascii="Arial Narrow" w:hAnsi="Arial Narrow"/>
                <w:color w:val="000000" w:themeColor="text1"/>
                <w:sz w:val="16"/>
                <w:szCs w:val="16"/>
              </w:rPr>
              <w:t>SEEA Ecosystem Accounting</w:t>
            </w:r>
          </w:p>
          <w:p w:rsidRPr="009F472D" w:rsidR="00373C7D" w:rsidP="009F472D" w:rsidRDefault="00373C7D" w14:paraId="6F9F5031" w14:textId="70FAF12E">
            <w:pPr>
              <w:spacing w:line="240" w:lineRule="auto"/>
              <w:jc w:val="left"/>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6"/>
                <w:szCs w:val="16"/>
              </w:rPr>
            </w:pPr>
            <w:r>
              <w:rPr>
                <w:rFonts w:ascii="Arial Narrow" w:hAnsi="Arial Narrow"/>
                <w:color w:val="000000" w:themeColor="text1"/>
                <w:sz w:val="16"/>
                <w:szCs w:val="16"/>
              </w:rPr>
              <w:t>Eurostat developing guidance notes for EU reporting</w:t>
            </w:r>
          </w:p>
        </w:tc>
      </w:tr>
    </w:tbl>
    <w:p w:rsidRPr="003F552A" w:rsidR="00BF1B84" w:rsidP="00BF1B84" w:rsidRDefault="00BF1B84" w14:paraId="17BA0A4E" w14:textId="77777777">
      <w:pPr>
        <w:spacing w:after="0"/>
        <w:sectPr w:rsidRPr="003F552A" w:rsidR="00BF1B84">
          <w:pgSz w:w="16838" w:h="11906" w:orient="landscape"/>
          <w:pgMar w:top="1440" w:right="1440" w:bottom="1440" w:left="1440" w:header="708" w:footer="708" w:gutter="0"/>
          <w:cols w:space="720"/>
        </w:sectPr>
      </w:pPr>
    </w:p>
    <w:p w:rsidRPr="003F552A" w:rsidR="00BF1B84" w:rsidP="0096443D" w:rsidRDefault="00BF1B84" w14:paraId="04B49BF1" w14:textId="3281AC3D"/>
    <w:sectPr w:rsidRPr="003F552A" w:rsidR="00BF1B84" w:rsidSect="007A38E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C7D" w:rsidP="00BF1B84" w:rsidRDefault="00373C7D" w14:paraId="0A523B69" w14:textId="77777777">
      <w:pPr>
        <w:spacing w:after="0" w:line="240" w:lineRule="auto"/>
      </w:pPr>
      <w:r>
        <w:separator/>
      </w:r>
    </w:p>
  </w:endnote>
  <w:endnote w:type="continuationSeparator" w:id="0">
    <w:p w:rsidR="00373C7D" w:rsidP="00BF1B84" w:rsidRDefault="00373C7D" w14:paraId="0082BD6A" w14:textId="77777777">
      <w:pPr>
        <w:spacing w:after="0" w:line="240" w:lineRule="auto"/>
      </w:pPr>
      <w:r>
        <w:continuationSeparator/>
      </w:r>
    </w:p>
  </w:endnote>
  <w:endnote w:type="continuationNotice" w:id="1">
    <w:p w:rsidR="00373C7D" w:rsidRDefault="00373C7D" w14:paraId="216C408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73314"/>
      <w:docPartObj>
        <w:docPartGallery w:val="Page Numbers (Bottom of Page)"/>
        <w:docPartUnique/>
      </w:docPartObj>
    </w:sdtPr>
    <w:sdtEndPr>
      <w:rPr>
        <w:noProof/>
      </w:rPr>
    </w:sdtEndPr>
    <w:sdtContent>
      <w:p w:rsidR="00373C7D" w:rsidRDefault="00373C7D" w14:paraId="178C7EE2" w14:textId="3217A10D">
        <w:pPr>
          <w:pStyle w:val="Footer"/>
          <w:jc w:val="right"/>
        </w:pPr>
        <w:r>
          <w:fldChar w:fldCharType="begin"/>
        </w:r>
        <w:r>
          <w:instrText xml:space="preserve"> PAGE   \* MERGEFORMAT </w:instrText>
        </w:r>
        <w:r>
          <w:fldChar w:fldCharType="separate"/>
        </w:r>
        <w:r w:rsidR="00250A72">
          <w:rPr>
            <w:noProof/>
          </w:rPr>
          <w:t>3</w:t>
        </w:r>
        <w:r>
          <w:rPr>
            <w:noProof/>
          </w:rPr>
          <w:fldChar w:fldCharType="end"/>
        </w:r>
      </w:p>
    </w:sdtContent>
  </w:sdt>
  <w:p w:rsidR="00373C7D" w:rsidRDefault="00373C7D" w14:paraId="378DE0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C7D" w:rsidP="00BF1B84" w:rsidRDefault="00373C7D" w14:paraId="21B242F4" w14:textId="77777777">
      <w:pPr>
        <w:spacing w:after="0" w:line="240" w:lineRule="auto"/>
      </w:pPr>
      <w:r>
        <w:separator/>
      </w:r>
    </w:p>
  </w:footnote>
  <w:footnote w:type="continuationSeparator" w:id="0">
    <w:p w:rsidR="00373C7D" w:rsidP="00BF1B84" w:rsidRDefault="00373C7D" w14:paraId="1BB5DFF1" w14:textId="77777777">
      <w:pPr>
        <w:spacing w:after="0" w:line="240" w:lineRule="auto"/>
      </w:pPr>
      <w:r>
        <w:continuationSeparator/>
      </w:r>
    </w:p>
  </w:footnote>
  <w:footnote w:type="continuationNotice" w:id="1">
    <w:p w:rsidR="00373C7D" w:rsidRDefault="00373C7D" w14:paraId="2455B5AC" w14:textId="77777777">
      <w:pPr>
        <w:spacing w:after="0" w:line="240" w:lineRule="auto"/>
      </w:pPr>
    </w:p>
  </w:footnote>
  <w:footnote w:id="2">
    <w:p w:rsidR="00373C7D" w:rsidP="00BF1B84" w:rsidRDefault="00373C7D" w14:paraId="17BA0B24" w14:textId="77777777">
      <w:pPr>
        <w:pStyle w:val="FootnoteText"/>
      </w:pPr>
      <w:r>
        <w:rPr>
          <w:rStyle w:val="FootnoteReference"/>
        </w:rPr>
        <w:footnoteRef/>
      </w:r>
      <w:r>
        <w:t xml:space="preserve"> See, for example, </w:t>
      </w:r>
      <w:hyperlink w:history="1" r:id="rId1">
        <w:r>
          <w:rPr>
            <w:rStyle w:val="Hyperlink"/>
          </w:rPr>
          <w:t>Area C Cover Note from the 15</w:t>
        </w:r>
        <w:r>
          <w:rPr>
            <w:rStyle w:val="Hyperlink"/>
            <w:vertAlign w:val="superscript"/>
          </w:rPr>
          <w:t>th</w:t>
        </w:r>
        <w:r>
          <w:rPr>
            <w:rStyle w:val="Hyperlink"/>
          </w:rPr>
          <w:t xml:space="preserve"> UNCEEA</w:t>
        </w:r>
      </w:hyperlink>
    </w:p>
  </w:footnote>
  <w:footnote w:id="3">
    <w:p w:rsidR="00373C7D" w:rsidRDefault="00373C7D" w14:paraId="2E26B9F4" w14:textId="0D548B81">
      <w:pPr>
        <w:pStyle w:val="FootnoteText"/>
      </w:pPr>
      <w:r>
        <w:rPr>
          <w:rStyle w:val="FootnoteReference"/>
        </w:rPr>
        <w:footnoteRef/>
      </w:r>
      <w:r>
        <w:t xml:space="preserve"> </w:t>
      </w:r>
      <w:r w:rsidRPr="00DA44C1" w:rsidR="00DA44C1">
        <w:t>https://stats.oecd.org/Index.aspx?DataSetCode=MTE</w:t>
      </w:r>
    </w:p>
  </w:footnote>
  <w:footnote w:id="4">
    <w:p w:rsidR="00373C7D" w:rsidRDefault="00373C7D" w14:paraId="1982301B" w14:textId="5375F01E">
      <w:pPr>
        <w:pStyle w:val="FootnoteText"/>
      </w:pPr>
      <w:r>
        <w:rPr>
          <w:rStyle w:val="FootnoteReference"/>
        </w:rPr>
        <w:footnoteRef/>
      </w:r>
      <w:r>
        <w:t xml:space="preserve"> </w:t>
      </w:r>
      <w:r w:rsidRPr="004E7C26">
        <w:t>https://stats.oecd.org/Index.aspx?DataSetCode=AIRTRANS_CO2</w:t>
      </w:r>
    </w:p>
  </w:footnote>
  <w:footnote w:id="5">
    <w:p w:rsidR="00373C7D" w:rsidP="00583206" w:rsidRDefault="00373C7D" w14:paraId="6B9A12AA" w14:textId="77777777">
      <w:pPr>
        <w:pStyle w:val="FootnoteText"/>
      </w:pPr>
      <w:r>
        <w:rPr>
          <w:rStyle w:val="FootnoteReference"/>
        </w:rPr>
        <w:footnoteRef/>
      </w:r>
      <w:r>
        <w:t xml:space="preserve"> </w:t>
      </w:r>
      <w:hyperlink w:history="1" r:id="rId2">
        <w:r>
          <w:rPr>
            <w:rStyle w:val="Hyperlink"/>
            <w:lang w:val="en-US"/>
          </w:rPr>
          <w:t>https://wedocs.unep.org/bitstream/handle/20.500.11822/36253/UNRE.pdf</w:t>
        </w:r>
      </w:hyperlink>
    </w:p>
  </w:footnote>
  <w:footnote w:id="6">
    <w:p w:rsidR="00373C7D" w:rsidP="00D1074D" w:rsidRDefault="00373C7D" w14:paraId="1466365D" w14:textId="77777777">
      <w:pPr>
        <w:pStyle w:val="FootnoteText"/>
      </w:pPr>
      <w:r>
        <w:rPr>
          <w:rStyle w:val="FootnoteReference"/>
        </w:rPr>
        <w:footnoteRef/>
      </w:r>
      <w:r>
        <w:t xml:space="preserve"> </w:t>
      </w:r>
      <w:r w:rsidRPr="00D1074D">
        <w:t>https://data.apps.fao.org/catalog/dataset/global-land-cover-share-database</w:t>
      </w:r>
    </w:p>
  </w:footnote>
</w:footnotes>
</file>

<file path=word/intelligence.xml><?xml version="1.0" encoding="utf-8"?>
<int:Intelligence xmlns:int="http://schemas.microsoft.com/office/intelligence/2019/intelligence">
  <int:IntelligenceSettings/>
  <int:Manifest>
    <int:WordHash hashCode="ZK7KT3wv3QmgrV" id="/Gs814nQ"/>
    <int:WordHash hashCode="NoFC0DyRG7ujlJ" id="QaaEK8a+"/>
    <int:WordHash hashCode="9Pv3ZJkKzG4IAq" id="QrQgl62Z"/>
    <int:WordHash hashCode="AwFgu8O6rrW3mL" id="8OQbz4eg"/>
    <int:WordHash hashCode="b6K/7jcmcZG0HD" id="BUvM1KXr"/>
    <int:WordHash hashCode="AhciU93XlWdHNg" id="WF1oDJL7"/>
    <int:WordHash hashCode="lVfavWHCUj2rzj" id="EZlmQKr6"/>
    <int:WordHash hashCode="FupnJuGnENUbSL" id="LenN/Zyz"/>
    <int:WordHash hashCode="cru2xPTaFRbh6L" id="F//XjlCi"/>
    <int:WordHash hashCode="5uuoiiwP7FnpYg" id="ogkTbJvA"/>
    <int:WordHash hashCode="HZyKwLIFdsD1fw" id="RqmCke2U"/>
    <int:WordHash hashCode="94tkyeDy6iT93O" id="UVXQf31B"/>
    <int:WordHash hashCode="pJZKpyefzigD8h" id="o1so+w3w"/>
    <int:WordHash hashCode="rgTDqxNuylF+rh" id="CYr9+w+M"/>
    <int:WordHash hashCode="BC3EUS+j05HFFw" id="sOnGDHGR"/>
    <int:WordHash hashCode="oGrV27/k9T5J7b" id="VmY148iO"/>
    <int:WordHash hashCode="Gh0LfWfrFNqpX/" id="ENsYhyCg"/>
    <int:WordHash hashCode="6HovLIhD3ys/B8" id="SPQeI+FL"/>
  </int:Manifest>
  <int:Observations>
    <int:Content id="/Gs814nQ">
      <int:Rejection type="LegacyProofing"/>
    </int:Content>
    <int:Content id="QaaEK8a+">
      <int:Rejection type="LegacyProofing"/>
    </int:Content>
    <int:Content id="QrQgl62Z">
      <int:Rejection type="LegacyProofing"/>
    </int:Content>
    <int:Content id="8OQbz4eg">
      <int:Rejection type="LegacyProofing"/>
    </int:Content>
    <int:Content id="BUvM1KXr">
      <int:Rejection type="LegacyProofing"/>
    </int:Content>
    <int:Content id="WF1oDJL7">
      <int:Rejection type="LegacyProofing"/>
    </int:Content>
    <int:Content id="EZlmQKr6">
      <int:Rejection type="LegacyProofing"/>
    </int:Content>
    <int:Content id="LenN/Zyz">
      <int:Rejection type="LegacyProofing"/>
    </int:Content>
    <int:Content id="F//XjlCi">
      <int:Rejection type="LegacyProofing"/>
    </int:Content>
    <int:Content id="ogkTbJvA">
      <int:Rejection type="LegacyProofing"/>
    </int:Content>
    <int:Content id="RqmCke2U">
      <int:Rejection type="LegacyProofing"/>
    </int:Content>
    <int:Content id="UVXQf31B">
      <int:Rejection type="LegacyProofing"/>
    </int:Content>
    <int:Content id="o1so+w3w">
      <int:Rejection type="LegacyProofing"/>
    </int:Content>
    <int:Content id="CYr9+w+M">
      <int:Rejection type="LegacyProofing"/>
    </int:Content>
    <int:Content id="sOnGDHGR">
      <int:Rejection type="LegacyProofing"/>
    </int:Content>
    <int:Content id="VmY148iO">
      <int:Rejection type="LegacyProofing"/>
    </int:Content>
    <int:Content id="ENsYhyCg">
      <int:Rejection type="AugLoop_Text_Critique"/>
    </int:Content>
    <int:Content id="SPQeI+F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7F77"/>
    <w:multiLevelType w:val="hybridMultilevel"/>
    <w:tmpl w:val="9E3AB7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FFF05F2"/>
    <w:multiLevelType w:val="hybridMultilevel"/>
    <w:tmpl w:val="4000B4A4"/>
    <w:lvl w:ilvl="0" w:tplc="671400D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FC1A62"/>
    <w:multiLevelType w:val="hybridMultilevel"/>
    <w:tmpl w:val="663A4692"/>
    <w:lvl w:ilvl="0" w:tplc="DBF6203E">
      <w:start w:val="1"/>
      <w:numFmt w:val="bullet"/>
      <w:pStyle w:val="TableCel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 w15:restartNumberingAfterBreak="0">
    <w:nsid w:val="536C1573"/>
    <w:multiLevelType w:val="hybridMultilevel"/>
    <w:tmpl w:val="31D2D086"/>
    <w:lvl w:ilvl="0" w:tplc="2AA44F0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27737"/>
    <w:multiLevelType w:val="hybridMultilevel"/>
    <w:tmpl w:val="8AB4B7D6"/>
    <w:lvl w:ilvl="0" w:tplc="FFFFFFFF">
      <w:start w:val="1"/>
      <w:numFmt w:val="decimal"/>
      <w:pStyle w:val="Heading4"/>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BD05273"/>
    <w:multiLevelType w:val="hybridMultilevel"/>
    <w:tmpl w:val="998408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B943C3C"/>
    <w:multiLevelType w:val="hybridMultilevel"/>
    <w:tmpl w:val="F02A32F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886066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755306">
    <w:abstractNumId w:val="2"/>
  </w:num>
  <w:num w:numId="3" w16cid:durableId="48189773">
    <w:abstractNumId w:val="6"/>
  </w:num>
  <w:num w:numId="4" w16cid:durableId="839344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46965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911076">
    <w:abstractNumId w:val="3"/>
  </w:num>
  <w:num w:numId="7" w16cid:durableId="1691181712">
    <w:abstractNumId w:val="3"/>
  </w:num>
  <w:num w:numId="8" w16cid:durableId="221799027">
    <w:abstractNumId w:val="3"/>
  </w:num>
  <w:num w:numId="9" w16cid:durableId="1243373036">
    <w:abstractNumId w:val="1"/>
  </w:num>
  <w:num w:numId="10" w16cid:durableId="965236501">
    <w:abstractNumId w:val="5"/>
  </w:num>
  <w:num w:numId="11" w16cid:durableId="1689062801">
    <w:abstractNumId w:val="0"/>
  </w:num>
  <w:num w:numId="12" w16cid:durableId="390660894">
    <w:abstractNumId w:val="2"/>
  </w:num>
  <w:num w:numId="13" w16cid:durableId="1812478275">
    <w:abstractNumId w:val="2"/>
  </w:num>
  <w:num w:numId="14" w16cid:durableId="1473251818">
    <w:abstractNumId w:val="2"/>
  </w:num>
  <w:num w:numId="15" w16cid:durableId="1256668442">
    <w:abstractNumId w:val="2"/>
  </w:num>
  <w:num w:numId="16" w16cid:durableId="22217747">
    <w:abstractNumId w:val="2"/>
  </w:num>
  <w:num w:numId="17" w16cid:durableId="1895778732">
    <w:abstractNumId w:val="2"/>
  </w:num>
  <w:num w:numId="18" w16cid:durableId="1066101647">
    <w:abstractNumId w:val="2"/>
  </w:num>
  <w:num w:numId="19" w16cid:durableId="891236320">
    <w:abstractNumId w:val="2"/>
  </w:num>
  <w:num w:numId="20" w16cid:durableId="177158339">
    <w:abstractNumId w:val="2"/>
  </w:num>
  <w:num w:numId="21" w16cid:durableId="1845702163">
    <w:abstractNumId w:val="2"/>
  </w:num>
  <w:num w:numId="22" w16cid:durableId="1760519429">
    <w:abstractNumId w:val="2"/>
  </w:num>
  <w:num w:numId="23" w16cid:durableId="31346490">
    <w:abstractNumId w:val="2"/>
  </w:num>
  <w:num w:numId="24" w16cid:durableId="229971640">
    <w:abstractNumId w:val="2"/>
  </w:num>
  <w:num w:numId="25" w16cid:durableId="678460022">
    <w:abstractNumId w:val="2"/>
  </w:num>
  <w:num w:numId="26" w16cid:durableId="482505927">
    <w:abstractNumId w:val="2"/>
  </w:num>
  <w:num w:numId="27" w16cid:durableId="1504591590">
    <w:abstractNumId w:val="2"/>
  </w:num>
  <w:num w:numId="28" w16cid:durableId="1420055444">
    <w:abstractNumId w:val="2"/>
  </w:num>
  <w:num w:numId="29" w16cid:durableId="1317878887">
    <w:abstractNumId w:val="2"/>
  </w:num>
  <w:num w:numId="30" w16cid:durableId="650909944">
    <w:abstractNumId w:val="2"/>
  </w:num>
  <w:num w:numId="31" w16cid:durableId="1657798875">
    <w:abstractNumId w:val="2"/>
  </w:num>
  <w:num w:numId="32" w16cid:durableId="1261252537">
    <w:abstractNumId w:val="2"/>
  </w:num>
  <w:num w:numId="33" w16cid:durableId="298149974">
    <w:abstractNumId w:val="2"/>
  </w:num>
  <w:num w:numId="34" w16cid:durableId="381710388">
    <w:abstractNumId w:val="2"/>
  </w:num>
  <w:num w:numId="35" w16cid:durableId="15422712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419" w:vendorID="64" w:dllVersion="6" w:nlCheck="1" w:checkStyle="0" w:appName="MSWord"/>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OECDDocumentId" w:val="84558A077F95625180AFE0CB3D3E025C1EC76DFC715F56B039861ECA519AD3AF"/>
  </w:docVars>
  <w:rsids>
    <w:rsidRoot w:val="00BF1B84"/>
    <w:rsid w:val="000040C6"/>
    <w:rsid w:val="00013406"/>
    <w:rsid w:val="000153E0"/>
    <w:rsid w:val="0002719B"/>
    <w:rsid w:val="0003602B"/>
    <w:rsid w:val="000437A0"/>
    <w:rsid w:val="00073CA0"/>
    <w:rsid w:val="00087462"/>
    <w:rsid w:val="000B198F"/>
    <w:rsid w:val="000B1FC4"/>
    <w:rsid w:val="000C1FED"/>
    <w:rsid w:val="000C3D9B"/>
    <w:rsid w:val="000E1992"/>
    <w:rsid w:val="00104815"/>
    <w:rsid w:val="00104E1A"/>
    <w:rsid w:val="0011099F"/>
    <w:rsid w:val="00134928"/>
    <w:rsid w:val="00136E22"/>
    <w:rsid w:val="00137086"/>
    <w:rsid w:val="00144F8C"/>
    <w:rsid w:val="00162296"/>
    <w:rsid w:val="00172517"/>
    <w:rsid w:val="00183381"/>
    <w:rsid w:val="00184ED1"/>
    <w:rsid w:val="00190D80"/>
    <w:rsid w:val="001A0B9D"/>
    <w:rsid w:val="001A0C02"/>
    <w:rsid w:val="001A30EB"/>
    <w:rsid w:val="001A49B0"/>
    <w:rsid w:val="001A5A88"/>
    <w:rsid w:val="001A73AA"/>
    <w:rsid w:val="001C2DF8"/>
    <w:rsid w:val="001D2AA5"/>
    <w:rsid w:val="001D7464"/>
    <w:rsid w:val="00216EF4"/>
    <w:rsid w:val="00243E90"/>
    <w:rsid w:val="002453A0"/>
    <w:rsid w:val="00246543"/>
    <w:rsid w:val="00250A72"/>
    <w:rsid w:val="00251A42"/>
    <w:rsid w:val="00260777"/>
    <w:rsid w:val="00262D21"/>
    <w:rsid w:val="00266724"/>
    <w:rsid w:val="00271EB4"/>
    <w:rsid w:val="00274EFA"/>
    <w:rsid w:val="00275DB9"/>
    <w:rsid w:val="00291380"/>
    <w:rsid w:val="002A3A20"/>
    <w:rsid w:val="002C37D5"/>
    <w:rsid w:val="002C3852"/>
    <w:rsid w:val="002E1084"/>
    <w:rsid w:val="002E5977"/>
    <w:rsid w:val="002F5D16"/>
    <w:rsid w:val="003007DA"/>
    <w:rsid w:val="00310F8E"/>
    <w:rsid w:val="00312DC7"/>
    <w:rsid w:val="00340255"/>
    <w:rsid w:val="0037078F"/>
    <w:rsid w:val="00373C7D"/>
    <w:rsid w:val="0039160A"/>
    <w:rsid w:val="00391F52"/>
    <w:rsid w:val="00393215"/>
    <w:rsid w:val="00393570"/>
    <w:rsid w:val="003A24B1"/>
    <w:rsid w:val="003B61FD"/>
    <w:rsid w:val="003B79FB"/>
    <w:rsid w:val="003D15B9"/>
    <w:rsid w:val="003D7A11"/>
    <w:rsid w:val="003E62AA"/>
    <w:rsid w:val="003F1868"/>
    <w:rsid w:val="003F3096"/>
    <w:rsid w:val="003F45AA"/>
    <w:rsid w:val="003F552A"/>
    <w:rsid w:val="00412F5F"/>
    <w:rsid w:val="0043039A"/>
    <w:rsid w:val="00456724"/>
    <w:rsid w:val="00471909"/>
    <w:rsid w:val="00473C5C"/>
    <w:rsid w:val="004754C3"/>
    <w:rsid w:val="0049437B"/>
    <w:rsid w:val="00495491"/>
    <w:rsid w:val="004958FC"/>
    <w:rsid w:val="00497221"/>
    <w:rsid w:val="004A468D"/>
    <w:rsid w:val="004A59E5"/>
    <w:rsid w:val="004C2F9D"/>
    <w:rsid w:val="004C3AA7"/>
    <w:rsid w:val="004C701A"/>
    <w:rsid w:val="004D0167"/>
    <w:rsid w:val="004D3A78"/>
    <w:rsid w:val="004E7C26"/>
    <w:rsid w:val="004F1F0B"/>
    <w:rsid w:val="005017DC"/>
    <w:rsid w:val="00504242"/>
    <w:rsid w:val="00504EB6"/>
    <w:rsid w:val="00505273"/>
    <w:rsid w:val="00513715"/>
    <w:rsid w:val="005145C3"/>
    <w:rsid w:val="00527C07"/>
    <w:rsid w:val="00540159"/>
    <w:rsid w:val="005409F9"/>
    <w:rsid w:val="00551AAC"/>
    <w:rsid w:val="00583206"/>
    <w:rsid w:val="00583DB7"/>
    <w:rsid w:val="005859C4"/>
    <w:rsid w:val="00586FD6"/>
    <w:rsid w:val="005A08DB"/>
    <w:rsid w:val="005D2268"/>
    <w:rsid w:val="005D3D60"/>
    <w:rsid w:val="005F63E7"/>
    <w:rsid w:val="0061601E"/>
    <w:rsid w:val="00624FEC"/>
    <w:rsid w:val="0063223F"/>
    <w:rsid w:val="006324A2"/>
    <w:rsid w:val="00657564"/>
    <w:rsid w:val="0066078E"/>
    <w:rsid w:val="006615B9"/>
    <w:rsid w:val="00664E1F"/>
    <w:rsid w:val="00674ABB"/>
    <w:rsid w:val="00684808"/>
    <w:rsid w:val="006901F8"/>
    <w:rsid w:val="006A0CFE"/>
    <w:rsid w:val="006A3C4B"/>
    <w:rsid w:val="006A6A97"/>
    <w:rsid w:val="006B75BE"/>
    <w:rsid w:val="006C31FD"/>
    <w:rsid w:val="006C679A"/>
    <w:rsid w:val="006E15CC"/>
    <w:rsid w:val="006E32DA"/>
    <w:rsid w:val="006E5A64"/>
    <w:rsid w:val="006E6EF2"/>
    <w:rsid w:val="006F4A61"/>
    <w:rsid w:val="007028BF"/>
    <w:rsid w:val="00705869"/>
    <w:rsid w:val="007071F0"/>
    <w:rsid w:val="00730298"/>
    <w:rsid w:val="00732CCD"/>
    <w:rsid w:val="00750E0B"/>
    <w:rsid w:val="00766877"/>
    <w:rsid w:val="0077152E"/>
    <w:rsid w:val="00772EAC"/>
    <w:rsid w:val="007812F6"/>
    <w:rsid w:val="00786B15"/>
    <w:rsid w:val="007A38E6"/>
    <w:rsid w:val="007B7406"/>
    <w:rsid w:val="007C1B64"/>
    <w:rsid w:val="007C37AE"/>
    <w:rsid w:val="007C602D"/>
    <w:rsid w:val="007C7163"/>
    <w:rsid w:val="007C7CA2"/>
    <w:rsid w:val="007D610B"/>
    <w:rsid w:val="007E7809"/>
    <w:rsid w:val="007F0E6F"/>
    <w:rsid w:val="007F5F66"/>
    <w:rsid w:val="008017F9"/>
    <w:rsid w:val="00803243"/>
    <w:rsid w:val="00811C9F"/>
    <w:rsid w:val="008120B5"/>
    <w:rsid w:val="00814A47"/>
    <w:rsid w:val="00822BA2"/>
    <w:rsid w:val="00826918"/>
    <w:rsid w:val="0083449C"/>
    <w:rsid w:val="008458A1"/>
    <w:rsid w:val="008472CF"/>
    <w:rsid w:val="0084760B"/>
    <w:rsid w:val="0085009E"/>
    <w:rsid w:val="008511D7"/>
    <w:rsid w:val="008579DF"/>
    <w:rsid w:val="0086579A"/>
    <w:rsid w:val="00877C68"/>
    <w:rsid w:val="00881F37"/>
    <w:rsid w:val="00885993"/>
    <w:rsid w:val="0089620C"/>
    <w:rsid w:val="008A1A66"/>
    <w:rsid w:val="008D04EC"/>
    <w:rsid w:val="008D4F18"/>
    <w:rsid w:val="008E3442"/>
    <w:rsid w:val="008F15C9"/>
    <w:rsid w:val="0090029A"/>
    <w:rsid w:val="009042A2"/>
    <w:rsid w:val="00931C3B"/>
    <w:rsid w:val="0093573B"/>
    <w:rsid w:val="00947536"/>
    <w:rsid w:val="00961024"/>
    <w:rsid w:val="009639F1"/>
    <w:rsid w:val="0096443D"/>
    <w:rsid w:val="009841DF"/>
    <w:rsid w:val="009867D7"/>
    <w:rsid w:val="00993AB4"/>
    <w:rsid w:val="009A5671"/>
    <w:rsid w:val="009E7D92"/>
    <w:rsid w:val="009F2403"/>
    <w:rsid w:val="009F472D"/>
    <w:rsid w:val="00A04D29"/>
    <w:rsid w:val="00A05B7E"/>
    <w:rsid w:val="00A301DB"/>
    <w:rsid w:val="00A65E87"/>
    <w:rsid w:val="00A8225D"/>
    <w:rsid w:val="00AB2ED4"/>
    <w:rsid w:val="00AB6395"/>
    <w:rsid w:val="00AC211D"/>
    <w:rsid w:val="00AC4076"/>
    <w:rsid w:val="00AC48AF"/>
    <w:rsid w:val="00AE4ED1"/>
    <w:rsid w:val="00AF419F"/>
    <w:rsid w:val="00B03E38"/>
    <w:rsid w:val="00B07581"/>
    <w:rsid w:val="00B5178B"/>
    <w:rsid w:val="00B5372B"/>
    <w:rsid w:val="00B64540"/>
    <w:rsid w:val="00B75F4D"/>
    <w:rsid w:val="00B80FBB"/>
    <w:rsid w:val="00B9044E"/>
    <w:rsid w:val="00B91CE9"/>
    <w:rsid w:val="00B91D4F"/>
    <w:rsid w:val="00B91FC0"/>
    <w:rsid w:val="00B95108"/>
    <w:rsid w:val="00B970EC"/>
    <w:rsid w:val="00BA56EF"/>
    <w:rsid w:val="00BA585D"/>
    <w:rsid w:val="00BB731B"/>
    <w:rsid w:val="00BC30D3"/>
    <w:rsid w:val="00BE3B73"/>
    <w:rsid w:val="00BE6E72"/>
    <w:rsid w:val="00BF1B84"/>
    <w:rsid w:val="00C00ADA"/>
    <w:rsid w:val="00C254B9"/>
    <w:rsid w:val="00C4794A"/>
    <w:rsid w:val="00C50815"/>
    <w:rsid w:val="00C70620"/>
    <w:rsid w:val="00C740AC"/>
    <w:rsid w:val="00C84337"/>
    <w:rsid w:val="00C954D3"/>
    <w:rsid w:val="00CA1027"/>
    <w:rsid w:val="00CA270C"/>
    <w:rsid w:val="00CB2A0D"/>
    <w:rsid w:val="00CC2FDE"/>
    <w:rsid w:val="00CD27E0"/>
    <w:rsid w:val="00CF0A80"/>
    <w:rsid w:val="00CF31AF"/>
    <w:rsid w:val="00D05ED6"/>
    <w:rsid w:val="00D0754F"/>
    <w:rsid w:val="00D1074D"/>
    <w:rsid w:val="00D13489"/>
    <w:rsid w:val="00D22335"/>
    <w:rsid w:val="00D45FEF"/>
    <w:rsid w:val="00D651CE"/>
    <w:rsid w:val="00D66967"/>
    <w:rsid w:val="00D720BA"/>
    <w:rsid w:val="00D81C7C"/>
    <w:rsid w:val="00D86977"/>
    <w:rsid w:val="00DA1C36"/>
    <w:rsid w:val="00DA44C1"/>
    <w:rsid w:val="00DA4F7D"/>
    <w:rsid w:val="00DB256A"/>
    <w:rsid w:val="00DB2A7D"/>
    <w:rsid w:val="00DC7905"/>
    <w:rsid w:val="00DD65E1"/>
    <w:rsid w:val="00DF0946"/>
    <w:rsid w:val="00DF0AFC"/>
    <w:rsid w:val="00E00463"/>
    <w:rsid w:val="00E10796"/>
    <w:rsid w:val="00E265BC"/>
    <w:rsid w:val="00E32AB5"/>
    <w:rsid w:val="00E43AB4"/>
    <w:rsid w:val="00E459E1"/>
    <w:rsid w:val="00E6202D"/>
    <w:rsid w:val="00E75538"/>
    <w:rsid w:val="00E8071A"/>
    <w:rsid w:val="00E934E0"/>
    <w:rsid w:val="00E94220"/>
    <w:rsid w:val="00E96257"/>
    <w:rsid w:val="00EB5228"/>
    <w:rsid w:val="00EF0E21"/>
    <w:rsid w:val="00EF5627"/>
    <w:rsid w:val="00F059C7"/>
    <w:rsid w:val="00F26373"/>
    <w:rsid w:val="00F352A7"/>
    <w:rsid w:val="00F564FF"/>
    <w:rsid w:val="00F60B9D"/>
    <w:rsid w:val="00F63FDC"/>
    <w:rsid w:val="00F65591"/>
    <w:rsid w:val="00F65E15"/>
    <w:rsid w:val="00F80B83"/>
    <w:rsid w:val="00F8259A"/>
    <w:rsid w:val="00F8361B"/>
    <w:rsid w:val="00F93903"/>
    <w:rsid w:val="00FA40FB"/>
    <w:rsid w:val="00FB0C1D"/>
    <w:rsid w:val="00FC3CED"/>
    <w:rsid w:val="00FD2C44"/>
    <w:rsid w:val="00FE2E38"/>
    <w:rsid w:val="00FF5B39"/>
    <w:rsid w:val="019BA0A3"/>
    <w:rsid w:val="01BF52E8"/>
    <w:rsid w:val="0254EDCC"/>
    <w:rsid w:val="0299AB3E"/>
    <w:rsid w:val="03269B1B"/>
    <w:rsid w:val="0371CD0E"/>
    <w:rsid w:val="04C03143"/>
    <w:rsid w:val="04F6F3AA"/>
    <w:rsid w:val="05EED45E"/>
    <w:rsid w:val="05FFF20D"/>
    <w:rsid w:val="076FEE57"/>
    <w:rsid w:val="079236AD"/>
    <w:rsid w:val="0950430F"/>
    <w:rsid w:val="09CA64CD"/>
    <w:rsid w:val="0A11C339"/>
    <w:rsid w:val="0A46D754"/>
    <w:rsid w:val="0B4D0CD1"/>
    <w:rsid w:val="0B546E13"/>
    <w:rsid w:val="0BBD5E89"/>
    <w:rsid w:val="0D60F11B"/>
    <w:rsid w:val="0D9A09C8"/>
    <w:rsid w:val="0DFD021A"/>
    <w:rsid w:val="1013391E"/>
    <w:rsid w:val="1021039B"/>
    <w:rsid w:val="1176D819"/>
    <w:rsid w:val="13613DDE"/>
    <w:rsid w:val="13C09305"/>
    <w:rsid w:val="13C7877F"/>
    <w:rsid w:val="142273A9"/>
    <w:rsid w:val="14AC6872"/>
    <w:rsid w:val="14C25118"/>
    <w:rsid w:val="1511180D"/>
    <w:rsid w:val="155C6366"/>
    <w:rsid w:val="15D62C25"/>
    <w:rsid w:val="16EB1C3D"/>
    <w:rsid w:val="170B9501"/>
    <w:rsid w:val="17BFB85A"/>
    <w:rsid w:val="18689EC7"/>
    <w:rsid w:val="19C5AEEE"/>
    <w:rsid w:val="1A766CA5"/>
    <w:rsid w:val="1AC069A7"/>
    <w:rsid w:val="1B9D50DF"/>
    <w:rsid w:val="1BC4C493"/>
    <w:rsid w:val="1BFB64F3"/>
    <w:rsid w:val="1C582E77"/>
    <w:rsid w:val="1CAC1AC7"/>
    <w:rsid w:val="1D0B754E"/>
    <w:rsid w:val="1D15BBF8"/>
    <w:rsid w:val="1E6A0E4A"/>
    <w:rsid w:val="1E814F2C"/>
    <w:rsid w:val="1F814F7A"/>
    <w:rsid w:val="205EA8E7"/>
    <w:rsid w:val="20F8DBB9"/>
    <w:rsid w:val="211D1FDB"/>
    <w:rsid w:val="211D6DEC"/>
    <w:rsid w:val="2136FF47"/>
    <w:rsid w:val="2347080C"/>
    <w:rsid w:val="237761A8"/>
    <w:rsid w:val="23C6FA87"/>
    <w:rsid w:val="23F6CE9D"/>
    <w:rsid w:val="24275C9C"/>
    <w:rsid w:val="24CDB6E1"/>
    <w:rsid w:val="24FF95F8"/>
    <w:rsid w:val="25334A42"/>
    <w:rsid w:val="25442512"/>
    <w:rsid w:val="255ABDF6"/>
    <w:rsid w:val="25C68227"/>
    <w:rsid w:val="25CD73AE"/>
    <w:rsid w:val="262668BD"/>
    <w:rsid w:val="262EC5D1"/>
    <w:rsid w:val="267BFE4F"/>
    <w:rsid w:val="269C61C5"/>
    <w:rsid w:val="26EF0AC7"/>
    <w:rsid w:val="2729A443"/>
    <w:rsid w:val="272E6F5F"/>
    <w:rsid w:val="27529953"/>
    <w:rsid w:val="279AA6C1"/>
    <w:rsid w:val="281DE126"/>
    <w:rsid w:val="28224D4F"/>
    <w:rsid w:val="29755229"/>
    <w:rsid w:val="29FBC4FA"/>
    <w:rsid w:val="2A4CC28C"/>
    <w:rsid w:val="2A8FE56C"/>
    <w:rsid w:val="2BE78345"/>
    <w:rsid w:val="2E89715E"/>
    <w:rsid w:val="2EBA144F"/>
    <w:rsid w:val="2F112BBE"/>
    <w:rsid w:val="2F118119"/>
    <w:rsid w:val="2F83DA8D"/>
    <w:rsid w:val="2FA2BFDC"/>
    <w:rsid w:val="2FEA1C48"/>
    <w:rsid w:val="303F25A8"/>
    <w:rsid w:val="308E2026"/>
    <w:rsid w:val="30B5DBE8"/>
    <w:rsid w:val="30F5B07C"/>
    <w:rsid w:val="318FD46D"/>
    <w:rsid w:val="31F1B511"/>
    <w:rsid w:val="32667C29"/>
    <w:rsid w:val="336A140F"/>
    <w:rsid w:val="340B9272"/>
    <w:rsid w:val="3424BB90"/>
    <w:rsid w:val="347816E5"/>
    <w:rsid w:val="3589394A"/>
    <w:rsid w:val="35B08C09"/>
    <w:rsid w:val="3676B0FB"/>
    <w:rsid w:val="36AB00D6"/>
    <w:rsid w:val="37BA3D53"/>
    <w:rsid w:val="37F74F7C"/>
    <w:rsid w:val="383C1697"/>
    <w:rsid w:val="393B912B"/>
    <w:rsid w:val="39487787"/>
    <w:rsid w:val="39AE3F42"/>
    <w:rsid w:val="3A071483"/>
    <w:rsid w:val="3A357016"/>
    <w:rsid w:val="3A42B82C"/>
    <w:rsid w:val="3A44CA2C"/>
    <w:rsid w:val="3A968B1C"/>
    <w:rsid w:val="3BA04C5F"/>
    <w:rsid w:val="3C092D66"/>
    <w:rsid w:val="3C0D2364"/>
    <w:rsid w:val="3C78A6F6"/>
    <w:rsid w:val="3C9E5D92"/>
    <w:rsid w:val="3D06A609"/>
    <w:rsid w:val="3D78CE8C"/>
    <w:rsid w:val="3DBBC233"/>
    <w:rsid w:val="3DC47907"/>
    <w:rsid w:val="3ED678B7"/>
    <w:rsid w:val="3F3129F4"/>
    <w:rsid w:val="3FAAD2AF"/>
    <w:rsid w:val="40C3C7CC"/>
    <w:rsid w:val="40F362F5"/>
    <w:rsid w:val="412AB067"/>
    <w:rsid w:val="4145716E"/>
    <w:rsid w:val="414D0001"/>
    <w:rsid w:val="41C1E3F5"/>
    <w:rsid w:val="41DD75A7"/>
    <w:rsid w:val="41EA39F9"/>
    <w:rsid w:val="41F69E04"/>
    <w:rsid w:val="41F87B3D"/>
    <w:rsid w:val="42694452"/>
    <w:rsid w:val="42AD6179"/>
    <w:rsid w:val="42E19E34"/>
    <w:rsid w:val="44085B38"/>
    <w:rsid w:val="442B03B7"/>
    <w:rsid w:val="442B393A"/>
    <w:rsid w:val="454E61E8"/>
    <w:rsid w:val="4559379A"/>
    <w:rsid w:val="465DFD1C"/>
    <w:rsid w:val="476D2C4D"/>
    <w:rsid w:val="47DADF7F"/>
    <w:rsid w:val="48DBCC5B"/>
    <w:rsid w:val="49225C66"/>
    <w:rsid w:val="49B0CE88"/>
    <w:rsid w:val="49B2E088"/>
    <w:rsid w:val="49B7B029"/>
    <w:rsid w:val="4A0A70D7"/>
    <w:rsid w:val="4A5B35A3"/>
    <w:rsid w:val="4B4D018E"/>
    <w:rsid w:val="4BD696DC"/>
    <w:rsid w:val="4C612916"/>
    <w:rsid w:val="4C8483CE"/>
    <w:rsid w:val="4D29D88F"/>
    <w:rsid w:val="4D45A5F2"/>
    <w:rsid w:val="4D9C334E"/>
    <w:rsid w:val="4E6C90B6"/>
    <w:rsid w:val="4EF50EEA"/>
    <w:rsid w:val="4F0CE9A8"/>
    <w:rsid w:val="4F4C63E0"/>
    <w:rsid w:val="4F5F15D5"/>
    <w:rsid w:val="504850F4"/>
    <w:rsid w:val="505FB696"/>
    <w:rsid w:val="50617951"/>
    <w:rsid w:val="5066BB2D"/>
    <w:rsid w:val="5070F16D"/>
    <w:rsid w:val="50DCB435"/>
    <w:rsid w:val="5117696C"/>
    <w:rsid w:val="5153A5F0"/>
    <w:rsid w:val="52122DCD"/>
    <w:rsid w:val="521B0A20"/>
    <w:rsid w:val="5250EA67"/>
    <w:rsid w:val="52E75C64"/>
    <w:rsid w:val="53767194"/>
    <w:rsid w:val="537FF1B6"/>
    <w:rsid w:val="54808540"/>
    <w:rsid w:val="549B2D1D"/>
    <w:rsid w:val="54FBC66A"/>
    <w:rsid w:val="5596DAB2"/>
    <w:rsid w:val="559DDED2"/>
    <w:rsid w:val="55A3A69C"/>
    <w:rsid w:val="5636C6B1"/>
    <w:rsid w:val="5642BEC6"/>
    <w:rsid w:val="564E3E86"/>
    <w:rsid w:val="56BF1877"/>
    <w:rsid w:val="57FCB3E3"/>
    <w:rsid w:val="59006875"/>
    <w:rsid w:val="5946AC85"/>
    <w:rsid w:val="596FC645"/>
    <w:rsid w:val="59AE6FB5"/>
    <w:rsid w:val="5A71E227"/>
    <w:rsid w:val="5AF0039B"/>
    <w:rsid w:val="5B65AA8E"/>
    <w:rsid w:val="5B76BBDE"/>
    <w:rsid w:val="5B7A156C"/>
    <w:rsid w:val="5BB90FFD"/>
    <w:rsid w:val="5BC3E9B7"/>
    <w:rsid w:val="5C36FA42"/>
    <w:rsid w:val="5D128C3F"/>
    <w:rsid w:val="5DBA11FB"/>
    <w:rsid w:val="5DE156C4"/>
    <w:rsid w:val="5DF554FC"/>
    <w:rsid w:val="5EE60408"/>
    <w:rsid w:val="5F24EAB9"/>
    <w:rsid w:val="5F48F267"/>
    <w:rsid w:val="5FDC69FA"/>
    <w:rsid w:val="5FE7242E"/>
    <w:rsid w:val="6040335C"/>
    <w:rsid w:val="60877FA6"/>
    <w:rsid w:val="60975ADA"/>
    <w:rsid w:val="6118F786"/>
    <w:rsid w:val="61E39F82"/>
    <w:rsid w:val="633EAC07"/>
    <w:rsid w:val="63758C50"/>
    <w:rsid w:val="63834864"/>
    <w:rsid w:val="63B12925"/>
    <w:rsid w:val="64FC3C70"/>
    <w:rsid w:val="651B274E"/>
    <w:rsid w:val="6595CC2E"/>
    <w:rsid w:val="65B1096D"/>
    <w:rsid w:val="65BE48BA"/>
    <w:rsid w:val="664F390D"/>
    <w:rsid w:val="66BC3E76"/>
    <w:rsid w:val="66E422E1"/>
    <w:rsid w:val="676B149E"/>
    <w:rsid w:val="68876767"/>
    <w:rsid w:val="68A26CBF"/>
    <w:rsid w:val="68E0B1B7"/>
    <w:rsid w:val="68FD1070"/>
    <w:rsid w:val="692D8321"/>
    <w:rsid w:val="694C537C"/>
    <w:rsid w:val="69574758"/>
    <w:rsid w:val="69600AF5"/>
    <w:rsid w:val="6A7E0585"/>
    <w:rsid w:val="6B20ED03"/>
    <w:rsid w:val="6B685166"/>
    <w:rsid w:val="6BFC5506"/>
    <w:rsid w:val="6C24DF1E"/>
    <w:rsid w:val="6CAC4FFA"/>
    <w:rsid w:val="6E2EF7FE"/>
    <w:rsid w:val="6E787EC7"/>
    <w:rsid w:val="6EA1E4E1"/>
    <w:rsid w:val="6EDB14BB"/>
    <w:rsid w:val="6EDDE0B9"/>
    <w:rsid w:val="709E4F8C"/>
    <w:rsid w:val="70C543F5"/>
    <w:rsid w:val="7219A418"/>
    <w:rsid w:val="74CE5C5A"/>
    <w:rsid w:val="74F3F5FE"/>
    <w:rsid w:val="7526A638"/>
    <w:rsid w:val="76533240"/>
    <w:rsid w:val="768FC65F"/>
    <w:rsid w:val="76F0AE49"/>
    <w:rsid w:val="7704E5F0"/>
    <w:rsid w:val="770A73C3"/>
    <w:rsid w:val="77A17E54"/>
    <w:rsid w:val="77EF02A1"/>
    <w:rsid w:val="77F15D82"/>
    <w:rsid w:val="7810831B"/>
    <w:rsid w:val="784D9D04"/>
    <w:rsid w:val="78C07E0F"/>
    <w:rsid w:val="78C99D37"/>
    <w:rsid w:val="79345450"/>
    <w:rsid w:val="79879A36"/>
    <w:rsid w:val="79ACE273"/>
    <w:rsid w:val="79B27046"/>
    <w:rsid w:val="79ED8302"/>
    <w:rsid w:val="7A311495"/>
    <w:rsid w:val="7A61AD33"/>
    <w:rsid w:val="7A8BFFAE"/>
    <w:rsid w:val="7AB705CC"/>
    <w:rsid w:val="7B16E6AA"/>
    <w:rsid w:val="7B1D06A5"/>
    <w:rsid w:val="7B32E8CE"/>
    <w:rsid w:val="7C631810"/>
    <w:rsid w:val="7C668C3C"/>
    <w:rsid w:val="7D896933"/>
    <w:rsid w:val="7DD1817A"/>
    <w:rsid w:val="7E61C0D7"/>
    <w:rsid w:val="7F38DEBB"/>
    <w:rsid w:val="7F92FBED"/>
    <w:rsid w:val="7FCE5169"/>
    <w:rsid w:val="7FEFFA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0962"/>
  <w15:chartTrackingRefBased/>
  <w15:docId w15:val="{F748AB2C-3139-4075-9C61-9E57EB2CF2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419F"/>
    <w:pPr>
      <w:spacing w:line="257" w:lineRule="auto"/>
      <w:jc w:val="both"/>
    </w:pPr>
  </w:style>
  <w:style w:type="paragraph" w:styleId="Heading1">
    <w:name w:val="heading 1"/>
    <w:basedOn w:val="Normal"/>
    <w:next w:val="Normal"/>
    <w:link w:val="Heading1Char"/>
    <w:uiPriority w:val="9"/>
    <w:qFormat/>
    <w:rsid w:val="00340255"/>
    <w:pPr>
      <w:keepNext/>
      <w:keepLines/>
      <w:numPr>
        <w:numId w:val="6"/>
      </w:numPr>
      <w:spacing w:before="600" w:after="240" w:line="240" w:lineRule="auto"/>
      <w:ind w:left="0" w:firstLine="0"/>
      <w:outlineLvl w:val="0"/>
    </w:pPr>
    <w:rPr>
      <w:rFonts w:ascii="Calibri" w:hAnsi="Calibri" w:eastAsiaTheme="majorEastAsia" w:cstheme="majorBidi"/>
      <w:b/>
      <w:i/>
      <w:color w:val="2E74B5" w:themeColor="accent1" w:themeShade="BF"/>
      <w:szCs w:val="32"/>
    </w:rPr>
  </w:style>
  <w:style w:type="paragraph" w:styleId="Heading2">
    <w:name w:val="heading 2"/>
    <w:basedOn w:val="Normal"/>
    <w:next w:val="Normal"/>
    <w:link w:val="Heading2Char"/>
    <w:uiPriority w:val="9"/>
    <w:unhideWhenUsed/>
    <w:qFormat/>
    <w:rsid w:val="00340255"/>
    <w:pPr>
      <w:keepNext/>
      <w:keepLines/>
      <w:spacing w:before="40" w:after="0"/>
      <w:outlineLvl w:val="1"/>
    </w:pPr>
    <w:rPr>
      <w:rFonts w:ascii="Calibri" w:hAnsi="Calibri"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340255"/>
    <w:pPr>
      <w:keepNext/>
      <w:keepLines/>
      <w:spacing w:before="40" w:after="0"/>
      <w:outlineLvl w:val="2"/>
    </w:pPr>
    <w:rPr>
      <w:rFonts w:ascii="Calibri" w:hAnsi="Calibri" w:eastAsiaTheme="majorEastAsia" w:cstheme="majorBidi"/>
      <w:i/>
      <w:color w:val="1F4D78" w:themeColor="accent1" w:themeShade="7F"/>
      <w:szCs w:val="24"/>
      <w:u w:val="single"/>
    </w:rPr>
  </w:style>
  <w:style w:type="paragraph" w:styleId="Heading4">
    <w:name w:val="heading 4"/>
    <w:basedOn w:val="Normal"/>
    <w:next w:val="Normal"/>
    <w:link w:val="Heading4Char"/>
    <w:uiPriority w:val="9"/>
    <w:semiHidden/>
    <w:unhideWhenUsed/>
    <w:qFormat/>
    <w:rsid w:val="00BF1B84"/>
    <w:pPr>
      <w:keepNext/>
      <w:keepLines/>
      <w:numPr>
        <w:numId w:val="1"/>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BF1B84"/>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40255"/>
    <w:rPr>
      <w:rFonts w:ascii="Calibri" w:hAnsi="Calibri" w:eastAsiaTheme="majorEastAsia" w:cstheme="majorBidi"/>
      <w:b/>
      <w:color w:val="2E74B5" w:themeColor="accent1" w:themeShade="BF"/>
      <w:szCs w:val="26"/>
    </w:rPr>
  </w:style>
  <w:style w:type="character" w:styleId="Heading4Char" w:customStyle="1">
    <w:name w:val="Heading 4 Char"/>
    <w:basedOn w:val="DefaultParagraphFont"/>
    <w:link w:val="Heading4"/>
    <w:uiPriority w:val="9"/>
    <w:semiHidden/>
    <w:rsid w:val="00BF1B84"/>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BF1B84"/>
    <w:rPr>
      <w:rFonts w:asciiTheme="majorHAnsi" w:hAnsiTheme="majorHAnsi" w:eastAsiaTheme="majorEastAsia" w:cstheme="majorBidi"/>
      <w:color w:val="2E74B5" w:themeColor="accent1" w:themeShade="BF"/>
    </w:rPr>
  </w:style>
  <w:style w:type="character" w:styleId="Hyperlink">
    <w:name w:val="Hyperlink"/>
    <w:basedOn w:val="DefaultParagraphFont"/>
    <w:uiPriority w:val="99"/>
    <w:unhideWhenUsed/>
    <w:rsid w:val="00BF1B84"/>
    <w:rPr>
      <w:color w:val="0000FF"/>
      <w:u w:val="single"/>
    </w:rPr>
  </w:style>
  <w:style w:type="paragraph" w:styleId="FootnoteText">
    <w:name w:val="footnote text"/>
    <w:basedOn w:val="Normal"/>
    <w:link w:val="FootnoteTextChar"/>
    <w:unhideWhenUsed/>
    <w:rsid w:val="00BF1B84"/>
    <w:pPr>
      <w:spacing w:after="0" w:line="240" w:lineRule="auto"/>
    </w:pPr>
    <w:rPr>
      <w:sz w:val="20"/>
      <w:szCs w:val="20"/>
    </w:rPr>
  </w:style>
  <w:style w:type="character" w:styleId="FootnoteTextChar" w:customStyle="1">
    <w:name w:val="Footnote Text Char"/>
    <w:basedOn w:val="DefaultParagraphFont"/>
    <w:link w:val="FootnoteText"/>
    <w:rsid w:val="00BF1B84"/>
    <w:rPr>
      <w:sz w:val="20"/>
      <w:szCs w:val="20"/>
    </w:rPr>
  </w:style>
  <w:style w:type="paragraph" w:styleId="CommentText">
    <w:name w:val="annotation text"/>
    <w:basedOn w:val="Normal"/>
    <w:link w:val="CommentTextChar"/>
    <w:uiPriority w:val="99"/>
    <w:semiHidden/>
    <w:unhideWhenUsed/>
    <w:rsid w:val="00BF1B84"/>
    <w:pPr>
      <w:spacing w:line="240" w:lineRule="auto"/>
    </w:pPr>
    <w:rPr>
      <w:sz w:val="20"/>
      <w:szCs w:val="20"/>
    </w:rPr>
  </w:style>
  <w:style w:type="character" w:styleId="CommentTextChar" w:customStyle="1">
    <w:name w:val="Comment Text Char"/>
    <w:basedOn w:val="DefaultParagraphFont"/>
    <w:link w:val="CommentText"/>
    <w:uiPriority w:val="99"/>
    <w:semiHidden/>
    <w:rsid w:val="00BF1B84"/>
    <w:rPr>
      <w:sz w:val="20"/>
      <w:szCs w:val="20"/>
    </w:rPr>
  </w:style>
  <w:style w:type="paragraph" w:styleId="ListParagraph">
    <w:name w:val="List Paragraph"/>
    <w:basedOn w:val="Normal"/>
    <w:uiPriority w:val="34"/>
    <w:qFormat/>
    <w:rsid w:val="00BF1B84"/>
    <w:pPr>
      <w:ind w:left="720"/>
      <w:contextualSpacing/>
    </w:pPr>
  </w:style>
  <w:style w:type="paragraph" w:styleId="TableCell" w:customStyle="1">
    <w:name w:val="Table Cell"/>
    <w:basedOn w:val="Normal"/>
    <w:uiPriority w:val="10"/>
    <w:qFormat/>
    <w:rsid w:val="00BF1B84"/>
    <w:pPr>
      <w:keepNext/>
      <w:keepLines/>
      <w:tabs>
        <w:tab w:val="left" w:pos="340"/>
        <w:tab w:val="left" w:pos="680"/>
      </w:tabs>
      <w:spacing w:before="20" w:after="20" w:line="240" w:lineRule="auto"/>
      <w:jc w:val="right"/>
    </w:pPr>
    <w:rPr>
      <w:rFonts w:ascii="Arial Narrow" w:hAnsi="Arial Narrow" w:eastAsia="SimSun" w:cs="Arial"/>
      <w:sz w:val="17"/>
      <w:szCs w:val="18"/>
    </w:rPr>
  </w:style>
  <w:style w:type="paragraph" w:styleId="TableRow" w:customStyle="1">
    <w:name w:val="Table Row"/>
    <w:basedOn w:val="TableCell"/>
    <w:uiPriority w:val="10"/>
    <w:qFormat/>
    <w:rsid w:val="00BF1B84"/>
    <w:pPr>
      <w:jc w:val="left"/>
    </w:pPr>
  </w:style>
  <w:style w:type="paragraph" w:styleId="TableColumn" w:customStyle="1">
    <w:name w:val="Table Column"/>
    <w:basedOn w:val="TableRow"/>
    <w:uiPriority w:val="10"/>
    <w:qFormat/>
    <w:rsid w:val="00BF1B84"/>
    <w:pPr>
      <w:jc w:val="center"/>
    </w:pPr>
  </w:style>
  <w:style w:type="paragraph" w:styleId="TableCellBullet" w:customStyle="1">
    <w:name w:val="Table Cell Bullet"/>
    <w:basedOn w:val="TableCell"/>
    <w:rsid w:val="00BF1B84"/>
    <w:pPr>
      <w:numPr>
        <w:numId w:val="2"/>
      </w:numPr>
      <w:tabs>
        <w:tab w:val="clear" w:pos="340"/>
        <w:tab w:val="clear" w:pos="680"/>
        <w:tab w:val="left" w:pos="227"/>
      </w:tabs>
      <w:jc w:val="left"/>
    </w:pPr>
    <w:rPr>
      <w:sz w:val="16"/>
    </w:rPr>
  </w:style>
  <w:style w:type="paragraph" w:styleId="Default" w:customStyle="1">
    <w:name w:val="Default"/>
    <w:rsid w:val="00BF1B84"/>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aliases w:val="Знак сноски-FN,callout,Footnote symbol,vnv"/>
    <w:basedOn w:val="DefaultParagraphFont"/>
    <w:semiHidden/>
    <w:unhideWhenUsed/>
    <w:rsid w:val="00BF1B84"/>
    <w:rPr>
      <w:vertAlign w:val="superscript"/>
    </w:rPr>
  </w:style>
  <w:style w:type="character" w:styleId="CommentReference">
    <w:name w:val="annotation reference"/>
    <w:basedOn w:val="DefaultParagraphFont"/>
    <w:uiPriority w:val="99"/>
    <w:semiHidden/>
    <w:unhideWhenUsed/>
    <w:rsid w:val="00BF1B84"/>
    <w:rPr>
      <w:sz w:val="16"/>
      <w:szCs w:val="16"/>
    </w:rPr>
  </w:style>
  <w:style w:type="character" w:styleId="leaf" w:customStyle="1">
    <w:name w:val="leaf"/>
    <w:basedOn w:val="DefaultParagraphFont"/>
    <w:rsid w:val="00BF1B84"/>
  </w:style>
  <w:style w:type="table" w:styleId="TableGrid">
    <w:name w:val="Table Grid"/>
    <w:basedOn w:val="TableNormal"/>
    <w:uiPriority w:val="39"/>
    <w:rsid w:val="00BF1B84"/>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ECD" w:customStyle="1">
    <w:name w:val="OECD"/>
    <w:basedOn w:val="LightShading-Accent1"/>
    <w:uiPriority w:val="99"/>
    <w:rsid w:val="00BF1B84"/>
    <w:rPr>
      <w:rFonts w:ascii="Georgia" w:hAnsi="Georgia" w:cs="Times New Roman"/>
      <w:sz w:val="20"/>
      <w:szCs w:val="20"/>
      <w:lang w:val="en-US" w:eastAsia="en-GB"/>
    </w:rPr>
    <w:tblPr>
      <w:tblBorders>
        <w:top w:val="single" w:color="auto" w:sz="12" w:space="0"/>
        <w:bottom w:val="single" w:color="auto" w:sz="12" w:space="0"/>
      </w:tblBorders>
    </w:tblPr>
    <w:tcPr>
      <w:shd w:val="clear" w:color="auto" w:fill="FFFFFF" w:themeFill="background1"/>
    </w:tcPr>
    <w:tblStylePr w:type="firstRow">
      <w:pPr>
        <w:spacing w:before="0" w:beforeLines="0" w:beforeAutospacing="0" w:after="0" w:afterLines="0" w:afterAutospacing="0" w:line="240" w:lineRule="auto"/>
      </w:pPr>
      <w:rPr>
        <w:b w:val="0"/>
        <w:bCs/>
      </w:rPr>
      <w:tblPr/>
      <w:tcPr>
        <w:tcBorders>
          <w:top w:val="single" w:color="4E81BD" w:sz="12" w:space="0"/>
          <w:left w:val="nil"/>
          <w:bottom w:val="nil"/>
          <w:right w:val="nil"/>
          <w:insideH w:val="nil"/>
          <w:insideV w:val="nil"/>
        </w:tcBorders>
      </w:tcPr>
    </w:tblStylePr>
    <w:tblStylePr w:type="lastRow">
      <w:pPr>
        <w:spacing w:before="0" w:beforeLines="0" w:beforeAutospacing="0" w:after="0" w:afterLines="0" w:afterAutospacing="0" w:line="240" w:lineRule="auto"/>
      </w:pPr>
      <w:rPr>
        <w:b w:val="0"/>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table" w:styleId="LightShading-Accent1">
    <w:name w:val="Light Shading Accent 1"/>
    <w:basedOn w:val="TableNormal"/>
    <w:uiPriority w:val="60"/>
    <w:semiHidden/>
    <w:unhideWhenUsed/>
    <w:rsid w:val="00BF1B84"/>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BF1B8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1B84"/>
    <w:rPr>
      <w:rFonts w:ascii="Segoe UI" w:hAnsi="Segoe UI" w:cs="Segoe UI"/>
      <w:sz w:val="18"/>
      <w:szCs w:val="18"/>
    </w:rPr>
  </w:style>
  <w:style w:type="paragraph" w:styleId="Header">
    <w:name w:val="header"/>
    <w:basedOn w:val="Normal"/>
    <w:link w:val="HeaderChar"/>
    <w:uiPriority w:val="99"/>
    <w:unhideWhenUsed/>
    <w:rsid w:val="0086579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6579A"/>
  </w:style>
  <w:style w:type="paragraph" w:styleId="Footer">
    <w:name w:val="footer"/>
    <w:basedOn w:val="Normal"/>
    <w:link w:val="FooterChar"/>
    <w:uiPriority w:val="99"/>
    <w:unhideWhenUsed/>
    <w:rsid w:val="0086579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6579A"/>
  </w:style>
  <w:style w:type="character" w:styleId="Heading1Char" w:customStyle="1">
    <w:name w:val="Heading 1 Char"/>
    <w:basedOn w:val="DefaultParagraphFont"/>
    <w:link w:val="Heading1"/>
    <w:uiPriority w:val="9"/>
    <w:rsid w:val="00340255"/>
    <w:rPr>
      <w:rFonts w:ascii="Calibri" w:hAnsi="Calibri" w:eastAsiaTheme="majorEastAsia" w:cstheme="majorBidi"/>
      <w:b/>
      <w:i/>
      <w:color w:val="2E74B5" w:themeColor="accent1" w:themeShade="BF"/>
      <w:szCs w:val="32"/>
    </w:rPr>
  </w:style>
  <w:style w:type="paragraph" w:styleId="CommentSubject">
    <w:name w:val="annotation subject"/>
    <w:basedOn w:val="CommentText"/>
    <w:next w:val="CommentText"/>
    <w:link w:val="CommentSubjectChar"/>
    <w:uiPriority w:val="99"/>
    <w:semiHidden/>
    <w:unhideWhenUsed/>
    <w:rsid w:val="00CA270C"/>
    <w:rPr>
      <w:b/>
      <w:bCs/>
    </w:rPr>
  </w:style>
  <w:style w:type="character" w:styleId="CommentSubjectChar" w:customStyle="1">
    <w:name w:val="Comment Subject Char"/>
    <w:basedOn w:val="CommentTextChar"/>
    <w:link w:val="CommentSubject"/>
    <w:uiPriority w:val="99"/>
    <w:semiHidden/>
    <w:rsid w:val="00CA270C"/>
    <w:rPr>
      <w:b/>
      <w:bCs/>
      <w:sz w:val="20"/>
      <w:szCs w:val="20"/>
    </w:rPr>
  </w:style>
  <w:style w:type="character" w:styleId="Heading3Char" w:customStyle="1">
    <w:name w:val="Heading 3 Char"/>
    <w:basedOn w:val="DefaultParagraphFont"/>
    <w:link w:val="Heading3"/>
    <w:uiPriority w:val="9"/>
    <w:rsid w:val="00340255"/>
    <w:rPr>
      <w:rFonts w:ascii="Calibri" w:hAnsi="Calibri" w:eastAsiaTheme="majorEastAsia" w:cstheme="majorBidi"/>
      <w:i/>
      <w:color w:val="1F4D78" w:themeColor="accent1" w:themeShade="7F"/>
      <w:szCs w:val="24"/>
      <w:u w:val="single"/>
    </w:rPr>
  </w:style>
  <w:style w:type="character" w:styleId="FollowedHyperlink">
    <w:name w:val="FollowedHyperlink"/>
    <w:basedOn w:val="DefaultParagraphFont"/>
    <w:uiPriority w:val="99"/>
    <w:semiHidden/>
    <w:unhideWhenUsed/>
    <w:rsid w:val="00C254B9"/>
    <w:rPr>
      <w:color w:val="954F72" w:themeColor="followedHyperlink"/>
      <w:u w:val="single"/>
    </w:rPr>
  </w:style>
  <w:style w:type="paragraph" w:styleId="Revision">
    <w:name w:val="Revision"/>
    <w:hidden/>
    <w:uiPriority w:val="99"/>
    <w:semiHidden/>
    <w:rsid w:val="0066078E"/>
    <w:pPr>
      <w:spacing w:after="0" w:line="240" w:lineRule="auto"/>
    </w:pPr>
  </w:style>
  <w:style w:type="character" w:styleId="UnresolvedMention1" w:customStyle="1">
    <w:name w:val="Unresolved Mention1"/>
    <w:basedOn w:val="DefaultParagraphFont"/>
    <w:uiPriority w:val="99"/>
    <w:semiHidden/>
    <w:unhideWhenUsed/>
    <w:rsid w:val="00AC211D"/>
    <w:rPr>
      <w:color w:val="605E5C"/>
      <w:shd w:val="clear" w:color="auto" w:fill="E1DFDD"/>
    </w:rPr>
  </w:style>
  <w:style w:type="character" w:styleId="normaltextrun" w:customStyle="1">
    <w:name w:val="normaltextrun"/>
    <w:basedOn w:val="DefaultParagraphFont"/>
    <w:rsid w:val="0089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7861">
      <w:bodyDiv w:val="1"/>
      <w:marLeft w:val="0"/>
      <w:marRight w:val="0"/>
      <w:marTop w:val="0"/>
      <w:marBottom w:val="0"/>
      <w:divBdr>
        <w:top w:val="none" w:sz="0" w:space="0" w:color="auto"/>
        <w:left w:val="none" w:sz="0" w:space="0" w:color="auto"/>
        <w:bottom w:val="none" w:sz="0" w:space="0" w:color="auto"/>
        <w:right w:val="none" w:sz="0" w:space="0" w:color="auto"/>
      </w:divBdr>
    </w:div>
    <w:div w:id="403989896">
      <w:bodyDiv w:val="1"/>
      <w:marLeft w:val="0"/>
      <w:marRight w:val="0"/>
      <w:marTop w:val="0"/>
      <w:marBottom w:val="0"/>
      <w:divBdr>
        <w:top w:val="none" w:sz="0" w:space="0" w:color="auto"/>
        <w:left w:val="none" w:sz="0" w:space="0" w:color="auto"/>
        <w:bottom w:val="none" w:sz="0" w:space="0" w:color="auto"/>
        <w:right w:val="none" w:sz="0" w:space="0" w:color="auto"/>
      </w:divBdr>
    </w:div>
    <w:div w:id="431246637">
      <w:bodyDiv w:val="1"/>
      <w:marLeft w:val="0"/>
      <w:marRight w:val="0"/>
      <w:marTop w:val="0"/>
      <w:marBottom w:val="0"/>
      <w:divBdr>
        <w:top w:val="none" w:sz="0" w:space="0" w:color="auto"/>
        <w:left w:val="none" w:sz="0" w:space="0" w:color="auto"/>
        <w:bottom w:val="none" w:sz="0" w:space="0" w:color="auto"/>
        <w:right w:val="none" w:sz="0" w:space="0" w:color="auto"/>
      </w:divBdr>
    </w:div>
    <w:div w:id="963659441">
      <w:bodyDiv w:val="1"/>
      <w:marLeft w:val="0"/>
      <w:marRight w:val="0"/>
      <w:marTop w:val="0"/>
      <w:marBottom w:val="0"/>
      <w:divBdr>
        <w:top w:val="none" w:sz="0" w:space="0" w:color="auto"/>
        <w:left w:val="none" w:sz="0" w:space="0" w:color="auto"/>
        <w:bottom w:val="none" w:sz="0" w:space="0" w:color="auto"/>
        <w:right w:val="none" w:sz="0" w:space="0" w:color="auto"/>
      </w:divBdr>
    </w:div>
    <w:div w:id="210005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ec.europa.eu/eurostat/data/database" TargetMode="External" Id="rId18" /><Relationship Type="http://schemas.openxmlformats.org/officeDocument/2006/relationships/hyperlink" Target="http://stats.oecd.org/Index.aspx?DataSetCode=LAND_COVER" TargetMode="External" Id="rId26" /><Relationship Type="http://schemas.openxmlformats.org/officeDocument/2006/relationships/customXml" Target="../customXml/item3.xml" Id="rId3" /><Relationship Type="http://schemas.openxmlformats.org/officeDocument/2006/relationships/hyperlink" Target="http://ec.europa.eu/eurostat/data/database"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stats.oecd.org/" TargetMode="External" Id="rId12" /><Relationship Type="http://schemas.openxmlformats.org/officeDocument/2006/relationships/hyperlink" Target="https://www.oecd-ilibrary.org/economics/towards-global-seea-air-emission-accounts_7d88dfdd-en" TargetMode="External" Id="rId17" /><Relationship Type="http://schemas.openxmlformats.org/officeDocument/2006/relationships/hyperlink" Target="http://www.fao.org/faostat/en/" TargetMode="External" Id="rId25" /><Relationship Type="http://schemas.openxmlformats.org/officeDocument/2006/relationships/hyperlink" Target="https://seea.un.org/content/aries-for-seea" TargetMode="External" Id="rId33" /><Relationship Type="http://schemas.openxmlformats.org/officeDocument/2006/relationships/customXml" Target="../customXml/item2.xml" Id="rId2" /><Relationship Type="http://schemas.openxmlformats.org/officeDocument/2006/relationships/hyperlink" Target="https://seea.un.org/sites/seea.un.org/files/airemissions_ks-gq-15-009-en-n.pdf" TargetMode="External" Id="rId16" /><Relationship Type="http://schemas.openxmlformats.org/officeDocument/2006/relationships/hyperlink" Target="https://doi.org/10.1787/data-00695-en" TargetMode="External" Id="rId20" /><Relationship Type="http://schemas.openxmlformats.org/officeDocument/2006/relationships/hyperlink" Target="https://appsso.eurostat.ec.europa.eu/nui/show.do?dataset=env_ac_taxind2&amp;lang=en" TargetMode="External" Id="rId29" /><Relationship Type="http://schemas.microsoft.com/office/2019/09/relationships/intelligence" Target="intelligence.xml" Id="R552f2dbe3d0c425b"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www.fao.org/faostat/en/" TargetMode="External" Id="rId24" /><Relationship Type="http://schemas.openxmlformats.org/officeDocument/2006/relationships/hyperlink" Target="http://ec.europa.eu/eurostat/data/database" TargetMode="External" Id="rId32" /><Relationship Type="http://schemas.openxmlformats.org/officeDocument/2006/relationships/numbering" Target="numbering.xml" Id="rId5" /><Relationship Type="http://schemas.openxmlformats.org/officeDocument/2006/relationships/hyperlink" Target="https://doi.org/10.1787/data-00735-en" TargetMode="External" Id="rId15" /><Relationship Type="http://schemas.openxmlformats.org/officeDocument/2006/relationships/hyperlink" Target="https://ec.europa.eu/eurostat/web/products-manuals-and-guidelines/-/ks-34-00-536" TargetMode="External" Id="rId23" /><Relationship Type="http://schemas.openxmlformats.org/officeDocument/2006/relationships/hyperlink" Target="https://stats.oecd.org/Index.aspx?DataSetCode=NAT_RES" TargetMode="External" Id="rId28" /><Relationship Type="http://schemas.openxmlformats.org/officeDocument/2006/relationships/endnotes" Target="endnotes.xml" Id="rId10" /><Relationship Type="http://schemas.openxmlformats.org/officeDocument/2006/relationships/hyperlink" Target="http://uneplive.unep.org/material" TargetMode="External" Id="rId19" /><Relationship Type="http://schemas.openxmlformats.org/officeDocument/2006/relationships/hyperlink" Target="http://ec.europa.eu/eurostat/data/databas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ec.europa.eu/eurostat/data/database" TargetMode="External" Id="rId14" /><Relationship Type="http://schemas.openxmlformats.org/officeDocument/2006/relationships/hyperlink" Target="https://wedocs.unep.org/bitstream/handle/20.500.11822/36253/UNRE.pdf" TargetMode="External" Id="rId22" /><Relationship Type="http://schemas.openxmlformats.org/officeDocument/2006/relationships/hyperlink" Target="https://doi.org/10.1787/72a9e331-en" TargetMode="External" Id="rId27" /><Relationship Type="http://schemas.openxmlformats.org/officeDocument/2006/relationships/hyperlink" Target="http://stats.oecd.org/Index.aspx?DataSetCode=ERTR_ACC" TargetMode="External" Id="rId30" /><Relationship Type="http://schemas.openxmlformats.org/officeDocument/2006/relationships/theme" Target="theme/theme1.xml" Id="rId35" /><Relationship Type="http://schemas.openxmlformats.org/officeDocument/2006/relationships/glossaryDocument" Target="glossary/document.xml" Id="R5724b0702f154730" /></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wedocs.unep.org%2Fbitstream%2Fhandle%2F20.500.11822%2F36253%2FUNRE.pdf&amp;data=04%7C01%7CMyriam.LINSTER%40oecd.org%7C6dbeb83a50f14ea7db3f08d929a64a77%7Cac41c7d41f61460db0f4fc925a2b471c%7C0%7C1%7C637586616458591412%7CUnknown%7CTWFpbGZsb3d8eyJWIjoiMC4wLjAwMDAiLCJQIjoiV2luMzIiLCJBTiI6Ik1haWwiLCJXVCI6Mn0%3D%7C1000&amp;sdata=NP%2FaPbzhw8id3P2qa1Bvbo2lQcyOfKMD%2FlTDzXspDzQ%3D&amp;reserved=0" TargetMode="External"/><Relationship Id="rId1" Type="http://schemas.openxmlformats.org/officeDocument/2006/relationships/hyperlink" Target="https://seea.un.org/sites/seea.un.org/files/area_c_unceea_cover_note_final2_0.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d59a371-5e25-484e-93a7-eae4ae1cf462}"/>
      </w:docPartPr>
      <w:docPartBody>
        <w:p w14:paraId="3252E0A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b4fa15-76ba-48c8-b961-b781e21574d2">
      <Terms xmlns="http://schemas.microsoft.com/office/infopath/2007/PartnerControls"/>
    </lcf76f155ced4ddcb4097134ff3c332f>
    <TaxCatchAll xmlns="985ec44e-1bab-4c0b-9df0-6ba128686fc9" xsi:nil="true"/>
    <Time xmlns="80b4fa15-76ba-48c8-b961-b781e21574d2">No action</Time>
    <Image xmlns="80b4fa15-76ba-48c8-b961-b781e21574d2" xsi:nil="true"/>
    <_Flow_SignoffStatus xmlns="80b4fa15-76ba-48c8-b961-b781e21574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1BF2F834EA4346881D152C2A068B67" ma:contentTypeVersion="19" ma:contentTypeDescription="Create a new document." ma:contentTypeScope="" ma:versionID="65823827aa7eab6536d4e501f51033b9">
  <xsd:schema xmlns:xsd="http://www.w3.org/2001/XMLSchema" xmlns:xs="http://www.w3.org/2001/XMLSchema" xmlns:p="http://schemas.microsoft.com/office/2006/metadata/properties" xmlns:ns2="80b4fa15-76ba-48c8-b961-b781e21574d2" xmlns:ns3="d0274a15-5367-45e1-987a-873acbd8baaa" xmlns:ns4="985ec44e-1bab-4c0b-9df0-6ba128686fc9" targetNamespace="http://schemas.microsoft.com/office/2006/metadata/properties" ma:root="true" ma:fieldsID="88a85a50db69973f0b17a7fe601a8d7b" ns2:_="" ns3:_="" ns4:_="">
    <xsd:import namespace="80b4fa15-76ba-48c8-b961-b781e21574d2"/>
    <xsd:import namespace="d0274a15-5367-45e1-987a-873acbd8baa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MediaLengthInSeconds" minOccurs="0"/>
                <xsd:element ref="ns2:Time" minOccurs="0"/>
                <xsd:element ref="ns2:Im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fa15-76ba-48c8-b961-b781e215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ime" ma:index="22" nillable="true" ma:displayName="Progress" ma:default="No action" ma:format="Dropdown" ma:internalName="Time">
      <xsd:simpleType>
        <xsd:restriction base="dms:Choice">
          <xsd:enumeration value="Completed"/>
          <xsd:enumeration value="No action"/>
          <xsd:enumeration value="Processing"/>
        </xsd:restriction>
      </xsd:simpleType>
    </xsd:element>
    <xsd:element name="Image" ma:index="23" nillable="true" ma:displayName="Image" ma:internalName="Imag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274a15-5367-45e1-987a-873acbd8ba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1277486-0853-43b3-8e89-471c10f59da4}" ma:internalName="TaxCatchAll" ma:showField="CatchAllData" ma:web="d0274a15-5367-45e1-987a-873acbd8b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3BA4F-3CC0-4BAD-8786-F085ACE85BB1}">
  <ds:schemaRefs>
    <ds:schemaRef ds:uri="http://schemas.openxmlformats.org/officeDocument/2006/bibliography"/>
  </ds:schemaRefs>
</ds:datastoreItem>
</file>

<file path=customXml/itemProps2.xml><?xml version="1.0" encoding="utf-8"?>
<ds:datastoreItem xmlns:ds="http://schemas.openxmlformats.org/officeDocument/2006/customXml" ds:itemID="{768378AF-A9E1-4649-93CA-1BC52409F199}">
  <ds:schemaRefs>
    <ds:schemaRef ds:uri="http://schemas.microsoft.com/sharepoint/v3/contenttype/forms"/>
  </ds:schemaRefs>
</ds:datastoreItem>
</file>

<file path=customXml/itemProps3.xml><?xml version="1.0" encoding="utf-8"?>
<ds:datastoreItem xmlns:ds="http://schemas.openxmlformats.org/officeDocument/2006/customXml" ds:itemID="{C8F9AA79-25BC-43F4-B563-7B3222508DFE}">
  <ds:schemaRefs>
    <ds:schemaRef ds:uri="http://purl.org/dc/elements/1.1/"/>
    <ds:schemaRef ds:uri="985ec44e-1bab-4c0b-9df0-6ba128686fc9"/>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0274a15-5367-45e1-987a-873acbd8baaa"/>
    <ds:schemaRef ds:uri="80b4fa15-76ba-48c8-b961-b781e21574d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CB298F2-7C8F-438C-A454-A996D60A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fa15-76ba-48c8-b961-b781e21574d2"/>
    <ds:schemaRef ds:uri="d0274a15-5367-45e1-987a-873acbd8baa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OECD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Daniel, SDD/NAD</dc:creator>
  <cp:keywords/>
  <dc:description/>
  <cp:lastModifiedBy>Marinella Cirillo</cp:lastModifiedBy>
  <cp:revision>3</cp:revision>
  <dcterms:created xsi:type="dcterms:W3CDTF">2023-06-19T17:21:00Z</dcterms:created>
  <dcterms:modified xsi:type="dcterms:W3CDTF">2023-06-19T17:24:19Z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0x010100B51BF2F834EA4346881D152C2A068B67</vt:lpwstr>
  </property>
  <property fmtid="{D5CDD505-2E9C-101B-9397-08002B2CF9AE}" pid="3" name="OECDDocumentId">
    <vt:lpwstr>84558A077F95625180AFE0CB3D3E025C1EC76DFC715F56B039861ECA519AD3AF</vt:lpwstr>
  </property>
  <property fmtid="{D5CDD505-2E9C-101B-9397-08002B2CF9AE}" pid="4" name="OecdDocumentCoteLangHash">
    <vt:lpwstr/>
  </property>
  <property fmtid="{D5CDD505-2E9C-101B-9397-08002B2CF9AE}" pid="5" name="MediaServiceImageTags">
    <vt:lpwstr/>
  </property>
</Properties>
</file>