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FB7B" w14:textId="77777777" w:rsidR="00340ABB" w:rsidRDefault="00340ABB" w:rsidP="00340ABB">
      <w:pPr>
        <w:spacing w:line="276" w:lineRule="auto"/>
      </w:pPr>
      <w:bookmarkStart w:id="0" w:name="_Hlk37709654"/>
      <w:bookmarkEnd w:id="0"/>
    </w:p>
    <w:p w14:paraId="712A762C" w14:textId="77777777" w:rsidR="00340ABB" w:rsidRDefault="00340ABB" w:rsidP="00340ABB">
      <w:pPr>
        <w:tabs>
          <w:tab w:val="left" w:pos="90"/>
        </w:tabs>
        <w:spacing w:line="276" w:lineRule="auto"/>
        <w:ind w:hanging="180"/>
        <w:rPr>
          <w:rFonts w:ascii="News Gothic MT" w:hAnsi="News Gothic MT"/>
          <w:b/>
          <w:noProof/>
          <w:sz w:val="48"/>
          <w:szCs w:val="48"/>
        </w:rPr>
      </w:pPr>
      <w:r>
        <w:rPr>
          <w:noProof/>
          <w:lang w:val="nl-NL" w:eastAsia="nl-NL"/>
        </w:rPr>
        <w:drawing>
          <wp:anchor distT="0" distB="0" distL="114300" distR="114300" simplePos="0" relativeHeight="251659264" behindDoc="1" locked="0" layoutInCell="1" allowOverlap="1" wp14:anchorId="25FB56ED" wp14:editId="364283E3">
            <wp:simplePos x="0" y="0"/>
            <wp:positionH relativeFrom="column">
              <wp:posOffset>-67310</wp:posOffset>
            </wp:positionH>
            <wp:positionV relativeFrom="paragraph">
              <wp:posOffset>-227965</wp:posOffset>
            </wp:positionV>
            <wp:extent cx="2239645" cy="1046480"/>
            <wp:effectExtent l="0" t="0" r="0" b="0"/>
            <wp:wrapNone/>
            <wp:docPr id="6" name="Picture 6" descr="Description: MAC HD:Users:Own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MAC HD:Users:Owner:Desktop: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l="13066" t="27065" r="12012" b="27538"/>
                    <a:stretch>
                      <a:fillRect/>
                    </a:stretch>
                  </pic:blipFill>
                  <pic:spPr bwMode="auto">
                    <a:xfrm>
                      <a:off x="0" y="0"/>
                      <a:ext cx="223964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s Gothic MT" w:hAnsi="News Gothic MT"/>
          <w:b/>
          <w:noProof/>
          <w:sz w:val="48"/>
          <w:szCs w:val="48"/>
        </w:rPr>
        <w:t xml:space="preserve"> </w:t>
      </w:r>
    </w:p>
    <w:p w14:paraId="050463AF" w14:textId="77777777" w:rsidR="00340ABB" w:rsidRDefault="00340ABB" w:rsidP="00340ABB">
      <w:pPr>
        <w:spacing w:line="276" w:lineRule="auto"/>
        <w:rPr>
          <w:rFonts w:ascii="News Gothic MT" w:hAnsi="News Gothic MT"/>
          <w:b/>
          <w:noProof/>
          <w:sz w:val="48"/>
          <w:szCs w:val="48"/>
        </w:rPr>
      </w:pPr>
    </w:p>
    <w:p w14:paraId="1470E10E" w14:textId="77777777" w:rsidR="00340ABB" w:rsidRPr="007B357A" w:rsidRDefault="00340ABB" w:rsidP="00340ABB">
      <w:pPr>
        <w:pStyle w:val="CoverPageHeadline"/>
        <w:jc w:val="center"/>
      </w:pPr>
    </w:p>
    <w:p w14:paraId="49769D91" w14:textId="3956CA48" w:rsidR="00340ABB" w:rsidRPr="008B46B2" w:rsidRDefault="00FE4CD9" w:rsidP="00340ABB">
      <w:pPr>
        <w:pStyle w:val="CoverPageHeadline"/>
        <w:jc w:val="center"/>
        <w:rPr>
          <w:color w:val="2F7BB4"/>
        </w:rPr>
      </w:pPr>
      <w:r>
        <w:rPr>
          <w:color w:val="2F7BB4"/>
        </w:rPr>
        <w:t>2</w:t>
      </w:r>
      <w:r w:rsidRPr="00FE4CD9">
        <w:rPr>
          <w:color w:val="2F7BB4"/>
          <w:vertAlign w:val="superscript"/>
        </w:rPr>
        <w:t>nd</w:t>
      </w:r>
      <w:r>
        <w:rPr>
          <w:color w:val="2F7BB4"/>
        </w:rPr>
        <w:t xml:space="preserve"> </w:t>
      </w:r>
      <w:r w:rsidR="00340ABB">
        <w:rPr>
          <w:color w:val="2F7BB4"/>
        </w:rPr>
        <w:t>Expert Meeting on Aligning SEEA and GEP</w:t>
      </w:r>
    </w:p>
    <w:p w14:paraId="6687A874" w14:textId="77777777" w:rsidR="00340ABB" w:rsidRPr="008B46B2" w:rsidRDefault="00340ABB" w:rsidP="00340ABB">
      <w:pPr>
        <w:pStyle w:val="CoverPageHeadline"/>
        <w:jc w:val="center"/>
        <w:rPr>
          <w:color w:val="2F7BB4"/>
        </w:rPr>
      </w:pPr>
    </w:p>
    <w:p w14:paraId="7D564FBD" w14:textId="77777777" w:rsidR="00340ABB" w:rsidRPr="008B46B2" w:rsidRDefault="00340ABB" w:rsidP="00340ABB">
      <w:pPr>
        <w:pStyle w:val="CoverPageHeadline"/>
        <w:jc w:val="center"/>
        <w:rPr>
          <w:color w:val="2F7BB4"/>
        </w:rPr>
      </w:pPr>
      <w:r>
        <w:rPr>
          <w:color w:val="2F7BB4"/>
        </w:rPr>
        <w:t>Agenda</w:t>
      </w:r>
    </w:p>
    <w:p w14:paraId="733E118C" w14:textId="77777777" w:rsidR="00340ABB" w:rsidRPr="008B46B2" w:rsidRDefault="00340ABB" w:rsidP="00340ABB">
      <w:pPr>
        <w:pStyle w:val="CoverPageHeadline"/>
        <w:jc w:val="center"/>
        <w:rPr>
          <w:color w:val="2F7BB4"/>
        </w:rPr>
      </w:pPr>
    </w:p>
    <w:p w14:paraId="2F342CDC" w14:textId="4B4BC5CB" w:rsidR="00340ABB" w:rsidRDefault="007525C1" w:rsidP="00340ABB">
      <w:pPr>
        <w:pStyle w:val="CoverPageHeadline"/>
        <w:jc w:val="center"/>
        <w:rPr>
          <w:color w:val="2F7BB4"/>
        </w:rPr>
      </w:pPr>
      <w:r>
        <w:rPr>
          <w:color w:val="2F7BB4"/>
        </w:rPr>
        <w:t>16</w:t>
      </w:r>
      <w:r w:rsidR="00340ABB">
        <w:rPr>
          <w:color w:val="2F7BB4"/>
        </w:rPr>
        <w:t xml:space="preserve"> </w:t>
      </w:r>
      <w:r>
        <w:rPr>
          <w:color w:val="2F7BB4"/>
        </w:rPr>
        <w:t>April</w:t>
      </w:r>
      <w:r w:rsidR="00340ABB" w:rsidRPr="008B46B2">
        <w:rPr>
          <w:color w:val="2F7BB4"/>
        </w:rPr>
        <w:t xml:space="preserve"> 20</w:t>
      </w:r>
      <w:r w:rsidR="00340ABB">
        <w:rPr>
          <w:color w:val="2F7BB4"/>
        </w:rPr>
        <w:t>20</w:t>
      </w:r>
    </w:p>
    <w:p w14:paraId="7FA9B747" w14:textId="698E6F87" w:rsidR="00340ABB" w:rsidRPr="008B46B2" w:rsidRDefault="00340ABB" w:rsidP="00340ABB">
      <w:pPr>
        <w:pStyle w:val="CoverPageHeadline"/>
        <w:jc w:val="center"/>
        <w:rPr>
          <w:color w:val="2F7BB4"/>
        </w:rPr>
      </w:pPr>
    </w:p>
    <w:p w14:paraId="2CE92A50" w14:textId="77777777" w:rsidR="00340ABB" w:rsidRDefault="00340ABB" w:rsidP="00340ABB">
      <w:pPr>
        <w:spacing w:line="276" w:lineRule="auto"/>
        <w:rPr>
          <w:rFonts w:ascii="News Gothic" w:hAnsi="News Gothic"/>
        </w:rPr>
      </w:pPr>
    </w:p>
    <w:p w14:paraId="0808FAEF" w14:textId="77777777" w:rsidR="00340ABB" w:rsidRDefault="00340ABB" w:rsidP="00340ABB">
      <w:pPr>
        <w:spacing w:line="276" w:lineRule="auto"/>
        <w:rPr>
          <w:rFonts w:ascii="News Gothic" w:hAnsi="News Gothic"/>
        </w:rPr>
      </w:pPr>
    </w:p>
    <w:p w14:paraId="5B8F5B52" w14:textId="77777777" w:rsidR="00340ABB" w:rsidRPr="00B55EAC" w:rsidRDefault="00340ABB" w:rsidP="00340ABB">
      <w:pPr>
        <w:spacing w:line="276" w:lineRule="auto"/>
        <w:rPr>
          <w:rFonts w:ascii="News Gothic" w:hAnsi="News Gothic"/>
        </w:rPr>
      </w:pPr>
    </w:p>
    <w:p w14:paraId="25AF30FB" w14:textId="77777777" w:rsidR="00340ABB" w:rsidRDefault="00340ABB" w:rsidP="00340ABB">
      <w:pPr>
        <w:pStyle w:val="FranklinHeader"/>
        <w:ind w:firstLine="720"/>
        <w:jc w:val="center"/>
      </w:pPr>
    </w:p>
    <w:p w14:paraId="4CF6DF01" w14:textId="77777777" w:rsidR="00340ABB" w:rsidRDefault="00340ABB" w:rsidP="00340ABB">
      <w:pPr>
        <w:pStyle w:val="FranklinHeader"/>
        <w:ind w:firstLine="720"/>
        <w:jc w:val="center"/>
      </w:pPr>
    </w:p>
    <w:p w14:paraId="35D610B1" w14:textId="77777777" w:rsidR="00340ABB" w:rsidRDefault="00340ABB" w:rsidP="00340ABB">
      <w:pPr>
        <w:pStyle w:val="FranklinHeader"/>
        <w:ind w:firstLine="720"/>
        <w:jc w:val="center"/>
      </w:pPr>
    </w:p>
    <w:p w14:paraId="704B1C48" w14:textId="77777777" w:rsidR="00340ABB" w:rsidRDefault="00340ABB" w:rsidP="00340ABB">
      <w:pPr>
        <w:pStyle w:val="FranklinHeader"/>
        <w:ind w:firstLine="720"/>
        <w:jc w:val="center"/>
      </w:pPr>
      <w:r>
        <w:rPr>
          <w:noProof/>
          <w:lang w:val="nl-NL" w:eastAsia="nl-NL"/>
        </w:rPr>
        <w:drawing>
          <wp:inline distT="0" distB="0" distL="0" distR="0" wp14:anchorId="30CA6160" wp14:editId="5F066568">
            <wp:extent cx="918556" cy="956603"/>
            <wp:effectExtent l="0" t="0" r="0" b="0"/>
            <wp:docPr id="74" name="Picture 7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8" cy="962198"/>
                    </a:xfrm>
                    <a:prstGeom prst="rect">
                      <a:avLst/>
                    </a:prstGeom>
                    <a:noFill/>
                    <a:ln>
                      <a:noFill/>
                    </a:ln>
                  </pic:spPr>
                </pic:pic>
              </a:graphicData>
            </a:graphic>
          </wp:inline>
        </w:drawing>
      </w:r>
    </w:p>
    <w:p w14:paraId="0C88E906" w14:textId="1640FB39" w:rsidR="00340ABB" w:rsidRDefault="00340ABB">
      <w:r>
        <w:br w:type="page"/>
      </w:r>
    </w:p>
    <w:p w14:paraId="7B60502F" w14:textId="77777777" w:rsidR="00340ABB" w:rsidRDefault="00340ABB" w:rsidP="00340ABB">
      <w:pPr>
        <w:pStyle w:val="FranklinHeader"/>
        <w:spacing w:before="240" w:after="240"/>
        <w:jc w:val="center"/>
        <w:rPr>
          <w:rFonts w:ascii="Palatino Linotype" w:hAnsi="Palatino Linotype"/>
          <w:u w:val="single"/>
          <w:lang w:val="en-GB"/>
        </w:rPr>
      </w:pPr>
      <w:r>
        <w:rPr>
          <w:rFonts w:ascii="Palatino Linotype" w:hAnsi="Palatino Linotype"/>
          <w:u w:val="single"/>
          <w:lang w:val="en-GB"/>
        </w:rPr>
        <w:lastRenderedPageBreak/>
        <w:t>Background</w:t>
      </w:r>
    </w:p>
    <w:p w14:paraId="38F12671" w14:textId="77777777" w:rsidR="00340ABB" w:rsidRPr="00883D3C" w:rsidRDefault="00340ABB" w:rsidP="00340ABB">
      <w:pPr>
        <w:pStyle w:val="ListParagraph"/>
        <w:numPr>
          <w:ilvl w:val="0"/>
          <w:numId w:val="1"/>
        </w:numPr>
        <w:spacing w:before="240" w:after="0" w:line="276" w:lineRule="auto"/>
        <w:contextualSpacing w:val="0"/>
        <w:jc w:val="both"/>
        <w:rPr>
          <w:rFonts w:ascii="Palatino Linotype" w:hAnsi="Palatino Linotype" w:cs="Times New Roman"/>
        </w:rPr>
      </w:pPr>
      <w:r w:rsidRPr="00883D3C">
        <w:rPr>
          <w:rFonts w:ascii="Palatino Linotype" w:hAnsi="Palatino Linotype" w:cs="Times New Roman"/>
        </w:rPr>
        <w:t xml:space="preserve">There is an increasing effort at the international and national level to develop an integrated information system to measure the linkage and interdependence between nature, economy and society for sustainable development. At the international level, the development of SEEA and the adoption of the SEEA Central Framework in 2012 brought environmental data and information into the realm of official statistics at the par with economic statistics allowing to go beyond GDP. The SEEA Experimental Ecosystem Accounting (SEEA-EEA), building on the Central Framework, </w:t>
      </w:r>
      <w:r>
        <w:rPr>
          <w:rFonts w:ascii="Palatino Linotype" w:hAnsi="Palatino Linotype" w:cs="Times New Roman"/>
        </w:rPr>
        <w:t>constitutes</w:t>
      </w:r>
      <w:r w:rsidRPr="00883D3C">
        <w:rPr>
          <w:rFonts w:ascii="Palatino Linotype" w:hAnsi="Palatino Linotype" w:cs="Times New Roman"/>
        </w:rPr>
        <w:t xml:space="preserve"> an integrated statistical framework for organizing biophysical data, measuring ecosystem services, tracking changes in ecosystem assets and linking this information to economic and other human activit</w:t>
      </w:r>
      <w:r>
        <w:rPr>
          <w:rFonts w:ascii="Palatino Linotype" w:hAnsi="Palatino Linotype" w:cs="Times New Roman"/>
        </w:rPr>
        <w:t xml:space="preserve">y.  The SEEA serves as the underlying statistical framework for natural capital accounting. </w:t>
      </w:r>
    </w:p>
    <w:p w14:paraId="165C9133" w14:textId="77777777" w:rsidR="00340ABB" w:rsidRPr="001868C8" w:rsidRDefault="00340ABB" w:rsidP="00340ABB">
      <w:pPr>
        <w:pStyle w:val="ListParagraph"/>
        <w:numPr>
          <w:ilvl w:val="0"/>
          <w:numId w:val="1"/>
        </w:numPr>
        <w:spacing w:before="240" w:after="0" w:line="276" w:lineRule="auto"/>
        <w:contextualSpacing w:val="0"/>
        <w:jc w:val="both"/>
        <w:rPr>
          <w:rFonts w:ascii="Palatino Linotype" w:hAnsi="Palatino Linotype" w:cs="Times New Roman"/>
        </w:rPr>
      </w:pPr>
      <w:r w:rsidRPr="001868C8">
        <w:rPr>
          <w:rFonts w:ascii="Palatino Linotype" w:hAnsi="Palatino Linotype" w:cs="Times New Roman"/>
        </w:rPr>
        <w:t>In China, there is an ongoing effort to develop a monitoring framework to</w:t>
      </w:r>
      <w:r>
        <w:rPr>
          <w:rFonts w:ascii="Palatino Linotype" w:hAnsi="Palatino Linotype" w:cs="Times New Roman"/>
        </w:rPr>
        <w:t xml:space="preserve"> measure sustainability</w:t>
      </w:r>
      <w:r w:rsidRPr="001868C8">
        <w:rPr>
          <w:rFonts w:ascii="Palatino Linotype" w:hAnsi="Palatino Linotype" w:cs="Times New Roman"/>
        </w:rPr>
        <w:t xml:space="preserve">. Gross Ecosystem Product (GEP) </w:t>
      </w:r>
      <w:r>
        <w:rPr>
          <w:rFonts w:ascii="Palatino Linotype" w:hAnsi="Palatino Linotype" w:cs="Times New Roman"/>
        </w:rPr>
        <w:t>is</w:t>
      </w:r>
      <w:r w:rsidRPr="001868C8">
        <w:rPr>
          <w:rFonts w:ascii="Palatino Linotype" w:hAnsi="Palatino Linotype" w:cs="Times New Roman"/>
        </w:rPr>
        <w:t xml:space="preserve"> a methodological framework developed by the Chinese scientist</w:t>
      </w:r>
      <w:r>
        <w:rPr>
          <w:rFonts w:ascii="Palatino Linotype" w:hAnsi="Palatino Linotype" w:cs="Times New Roman"/>
        </w:rPr>
        <w:t>s</w:t>
      </w:r>
      <w:r w:rsidRPr="001868C8">
        <w:rPr>
          <w:rFonts w:ascii="Palatino Linotype" w:hAnsi="Palatino Linotype" w:cs="Times New Roman"/>
        </w:rPr>
        <w:t xml:space="preserve"> that aims to measure natural capital and the ecological contributions to the economy in monetary teams</w:t>
      </w:r>
      <w:r>
        <w:rPr>
          <w:rFonts w:ascii="Palatino Linotype" w:hAnsi="Palatino Linotype" w:cs="Times New Roman"/>
        </w:rPr>
        <w:t xml:space="preserve">, with an objective to </w:t>
      </w:r>
      <w:r w:rsidRPr="001868C8">
        <w:rPr>
          <w:rFonts w:ascii="Palatino Linotype" w:hAnsi="Palatino Linotype" w:cs="Times New Roman"/>
        </w:rPr>
        <w:t>evaluate the effectiveness and progress of conservation effects and policy</w:t>
      </w:r>
      <w:r>
        <w:rPr>
          <w:rFonts w:ascii="Palatino Linotype" w:hAnsi="Palatino Linotype" w:cs="Times New Roman"/>
        </w:rPr>
        <w:t>.  GEP is being considered at the par with GDP, providing a summary information on the performance on the environment.  GEP is increasingly being accepted as a measure to evaluate the performance of government at the provincial level with respect to the environment.</w:t>
      </w:r>
    </w:p>
    <w:p w14:paraId="783B0453" w14:textId="283E8DEE" w:rsidR="00340ABB" w:rsidRPr="00F73496" w:rsidRDefault="00340ABB" w:rsidP="00340ABB">
      <w:pPr>
        <w:pStyle w:val="ListParagraph"/>
        <w:numPr>
          <w:ilvl w:val="0"/>
          <w:numId w:val="1"/>
        </w:numPr>
        <w:spacing w:before="240" w:after="0" w:line="276" w:lineRule="auto"/>
        <w:contextualSpacing w:val="0"/>
        <w:jc w:val="both"/>
        <w:rPr>
          <w:rFonts w:ascii="Palatino Linotype" w:hAnsi="Palatino Linotype" w:cs="Times New Roman"/>
        </w:rPr>
      </w:pPr>
      <w:r w:rsidRPr="00D04F67">
        <w:rPr>
          <w:rFonts w:ascii="Palatino Linotype" w:hAnsi="Palatino Linotype"/>
          <w:color w:val="000000" w:themeColor="text1"/>
          <w:lang w:val="en-GB"/>
        </w:rPr>
        <w:t>SEEA-EEA and GEP are largely compatible</w:t>
      </w:r>
      <w:r>
        <w:rPr>
          <w:rFonts w:ascii="Palatino Linotype" w:hAnsi="Palatino Linotype"/>
          <w:color w:val="000000" w:themeColor="text1"/>
          <w:lang w:val="en-GB"/>
        </w:rPr>
        <w:t xml:space="preserve"> and </w:t>
      </w:r>
      <w:r w:rsidRPr="00D04F67">
        <w:rPr>
          <w:rFonts w:ascii="Palatino Linotype" w:hAnsi="Palatino Linotype"/>
          <w:color w:val="000000" w:themeColor="text1"/>
          <w:lang w:val="en-GB"/>
        </w:rPr>
        <w:t>there is an ongoing effort to bring alignment of the two framework</w:t>
      </w:r>
      <w:r>
        <w:rPr>
          <w:rFonts w:ascii="Palatino Linotype" w:hAnsi="Palatino Linotype"/>
          <w:color w:val="000000" w:themeColor="text1"/>
          <w:lang w:val="en-GB"/>
        </w:rPr>
        <w:t xml:space="preserve">s. </w:t>
      </w:r>
      <w:r w:rsidRPr="00D04F67">
        <w:rPr>
          <w:rFonts w:ascii="Palatino Linotype" w:hAnsi="Palatino Linotype"/>
          <w:color w:val="000000" w:themeColor="text1"/>
          <w:lang w:val="en-GB"/>
        </w:rPr>
        <w:t xml:space="preserve"> </w:t>
      </w:r>
      <w:r>
        <w:rPr>
          <w:rFonts w:ascii="Palatino Linotype" w:hAnsi="Palatino Linotype"/>
          <w:color w:val="000000" w:themeColor="text1"/>
          <w:lang w:val="en-GB"/>
        </w:rPr>
        <w:t>Considering also on-going efforts by NBS to develop guidelines on the implementation of the SEEA EEA in China based on the experience of Guangxi and Guizhou</w:t>
      </w:r>
      <w:r w:rsidR="00807D09">
        <w:rPr>
          <w:rFonts w:ascii="Palatino Linotype" w:hAnsi="Palatino Linotype"/>
          <w:color w:val="000000" w:themeColor="text1"/>
          <w:lang w:val="en-GB"/>
        </w:rPr>
        <w:t>,</w:t>
      </w:r>
      <w:r>
        <w:rPr>
          <w:rFonts w:ascii="Palatino Linotype" w:hAnsi="Palatino Linotype"/>
          <w:color w:val="000000" w:themeColor="text1"/>
          <w:lang w:val="en-GB"/>
        </w:rPr>
        <w:t xml:space="preserve"> and the plan</w:t>
      </w:r>
      <w:r w:rsidR="00807D09">
        <w:rPr>
          <w:rFonts w:ascii="Palatino Linotype" w:hAnsi="Palatino Linotype"/>
          <w:color w:val="000000" w:themeColor="text1"/>
          <w:lang w:val="en-GB"/>
        </w:rPr>
        <w:t xml:space="preserve"> from CAS</w:t>
      </w:r>
      <w:r>
        <w:rPr>
          <w:rFonts w:ascii="Palatino Linotype" w:hAnsi="Palatino Linotype"/>
          <w:color w:val="000000" w:themeColor="text1"/>
          <w:lang w:val="en-GB"/>
        </w:rPr>
        <w:t xml:space="preserve"> to develop guidelines for GEP compilation</w:t>
      </w:r>
      <w:r w:rsidR="00871763">
        <w:rPr>
          <w:rFonts w:ascii="Palatino Linotype" w:hAnsi="Palatino Linotype"/>
          <w:color w:val="000000" w:themeColor="text1"/>
          <w:lang w:val="en-GB"/>
        </w:rPr>
        <w:t xml:space="preserve"> in China</w:t>
      </w:r>
      <w:r>
        <w:rPr>
          <w:rFonts w:ascii="Palatino Linotype" w:hAnsi="Palatino Linotype"/>
          <w:color w:val="000000" w:themeColor="text1"/>
          <w:lang w:val="en-GB"/>
        </w:rPr>
        <w:t xml:space="preserve">, </w:t>
      </w:r>
      <w:r w:rsidR="00201D92">
        <w:rPr>
          <w:rFonts w:ascii="Palatino Linotype" w:hAnsi="Palatino Linotype"/>
          <w:color w:val="000000" w:themeColor="text1"/>
          <w:lang w:val="en-GB"/>
        </w:rPr>
        <w:t>discussions</w:t>
      </w:r>
      <w:r>
        <w:rPr>
          <w:rFonts w:ascii="Palatino Linotype" w:hAnsi="Palatino Linotype"/>
          <w:color w:val="000000" w:themeColor="text1"/>
          <w:lang w:val="en-GB"/>
        </w:rPr>
        <w:t xml:space="preserve"> to align the two frameworks is very timely.</w:t>
      </w:r>
    </w:p>
    <w:p w14:paraId="0B21EA34" w14:textId="0D7374F2" w:rsidR="00340ABB" w:rsidRPr="005E1067" w:rsidRDefault="00340ABB" w:rsidP="00340ABB">
      <w:pPr>
        <w:pStyle w:val="ListParagraph"/>
        <w:numPr>
          <w:ilvl w:val="0"/>
          <w:numId w:val="1"/>
        </w:numPr>
        <w:spacing w:before="240" w:after="0" w:line="276" w:lineRule="auto"/>
        <w:contextualSpacing w:val="0"/>
        <w:jc w:val="both"/>
        <w:rPr>
          <w:rFonts w:ascii="Palatino Linotype" w:hAnsi="Palatino Linotype" w:cs="Times New Roman"/>
        </w:rPr>
      </w:pPr>
      <w:r w:rsidRPr="00D04F67">
        <w:rPr>
          <w:rFonts w:ascii="Palatino Linotype" w:hAnsi="Palatino Linotype"/>
          <w:color w:val="000000" w:themeColor="text1"/>
          <w:lang w:val="en-GB"/>
        </w:rPr>
        <w:t>The</w:t>
      </w:r>
      <w:r>
        <w:rPr>
          <w:rFonts w:ascii="Palatino Linotype" w:hAnsi="Palatino Linotype"/>
          <w:color w:val="000000" w:themeColor="text1"/>
          <w:lang w:val="en-GB"/>
        </w:rPr>
        <w:t xml:space="preserve"> technical</w:t>
      </w:r>
      <w:r w:rsidRPr="00D04F67">
        <w:rPr>
          <w:rFonts w:ascii="Palatino Linotype" w:hAnsi="Palatino Linotype"/>
          <w:color w:val="000000" w:themeColor="text1"/>
          <w:lang w:val="en-GB"/>
        </w:rPr>
        <w:t xml:space="preserve"> meeting</w:t>
      </w:r>
      <w:r w:rsidR="00F27143">
        <w:rPr>
          <w:rFonts w:ascii="Palatino Linotype" w:hAnsi="Palatino Linotype"/>
          <w:color w:val="000000" w:themeColor="text1"/>
          <w:lang w:val="en-GB"/>
        </w:rPr>
        <w:t>s</w:t>
      </w:r>
      <w:r w:rsidRPr="00D04F67">
        <w:rPr>
          <w:rFonts w:ascii="Palatino Linotype" w:hAnsi="Palatino Linotype"/>
          <w:color w:val="000000" w:themeColor="text1"/>
          <w:lang w:val="en-GB"/>
        </w:rPr>
        <w:t xml:space="preserve"> </w:t>
      </w:r>
      <w:r>
        <w:rPr>
          <w:rFonts w:ascii="Palatino Linotype" w:hAnsi="Palatino Linotype"/>
          <w:color w:val="000000" w:themeColor="text1"/>
          <w:lang w:val="en-GB"/>
        </w:rPr>
        <w:t>will bring together the SEEA and GEP experts to foster technical exchange, with an objective to resolve technical difference, to develop a strategy to bring alignment, integration and common approach of the two frameworks to advance natural capital accounting at the global level and in China</w:t>
      </w:r>
      <w:r w:rsidRPr="00D04F67">
        <w:rPr>
          <w:rFonts w:ascii="Palatino Linotype" w:hAnsi="Palatino Linotype"/>
          <w:color w:val="000000" w:themeColor="text1"/>
          <w:lang w:val="en-GB"/>
        </w:rPr>
        <w:t xml:space="preserve">. </w:t>
      </w:r>
      <w:r>
        <w:rPr>
          <w:rFonts w:ascii="Palatino Linotype" w:hAnsi="Palatino Linotype"/>
          <w:color w:val="000000" w:themeColor="text1"/>
          <w:lang w:val="en-GB"/>
        </w:rPr>
        <w:t xml:space="preserve"> </w:t>
      </w:r>
    </w:p>
    <w:p w14:paraId="7A124972" w14:textId="77777777" w:rsidR="00C20D9C" w:rsidRDefault="00C20D9C">
      <w:pPr>
        <w:rPr>
          <w:rFonts w:ascii="Palatino Linotype" w:eastAsia="MS Mincho" w:hAnsi="Palatino Linotype" w:cs="Times New Roman"/>
          <w:color w:val="000000" w:themeColor="text1"/>
          <w:sz w:val="28"/>
          <w:szCs w:val="28"/>
          <w:lang w:val="en-GB"/>
        </w:rPr>
      </w:pPr>
      <w:r>
        <w:rPr>
          <w:rFonts w:ascii="Palatino Linotype" w:hAnsi="Palatino Linotype"/>
          <w:color w:val="000000" w:themeColor="text1"/>
          <w:lang w:val="en-GB"/>
        </w:rPr>
        <w:br w:type="page"/>
      </w:r>
    </w:p>
    <w:p w14:paraId="211611CA" w14:textId="374EE5FB" w:rsidR="005E1067" w:rsidRPr="00C20D9C" w:rsidRDefault="00201D92" w:rsidP="00C20D9C">
      <w:pPr>
        <w:pStyle w:val="FranklinHeader"/>
        <w:spacing w:before="240" w:after="240"/>
        <w:jc w:val="center"/>
        <w:rPr>
          <w:rFonts w:ascii="Palatino Linotype" w:hAnsi="Palatino Linotype"/>
          <w:u w:val="single"/>
          <w:lang w:val="en-GB"/>
        </w:rPr>
      </w:pPr>
      <w:r>
        <w:rPr>
          <w:rFonts w:ascii="Palatino Linotype" w:hAnsi="Palatino Linotype"/>
          <w:color w:val="000000" w:themeColor="text1"/>
          <w:lang w:val="en-GB"/>
        </w:rPr>
        <w:lastRenderedPageBreak/>
        <w:t xml:space="preserve"> </w:t>
      </w:r>
      <w:r w:rsidR="004E5C16">
        <w:rPr>
          <w:rFonts w:ascii="Palatino Linotype" w:hAnsi="Palatino Linotype"/>
          <w:u w:val="single"/>
          <w:lang w:val="en-GB"/>
        </w:rPr>
        <w:t>Discussion items for the 2</w:t>
      </w:r>
      <w:r w:rsidR="00C20D9C" w:rsidRPr="00C20D9C">
        <w:rPr>
          <w:rFonts w:ascii="Palatino Linotype" w:hAnsi="Palatino Linotype"/>
          <w:u w:val="single"/>
          <w:vertAlign w:val="superscript"/>
          <w:lang w:val="en-GB"/>
        </w:rPr>
        <w:t>nd</w:t>
      </w:r>
      <w:r w:rsidR="00C20D9C">
        <w:rPr>
          <w:rFonts w:ascii="Palatino Linotype" w:hAnsi="Palatino Linotype"/>
          <w:u w:val="single"/>
          <w:lang w:val="en-GB"/>
        </w:rPr>
        <w:t xml:space="preserve"> meeting</w:t>
      </w:r>
    </w:p>
    <w:p w14:paraId="4759AE7F" w14:textId="5787BA9F" w:rsidR="009C3CAA" w:rsidRPr="00BE0303" w:rsidRDefault="009C3CAA" w:rsidP="00070E27">
      <w:pPr>
        <w:pStyle w:val="ListParagraph"/>
        <w:numPr>
          <w:ilvl w:val="0"/>
          <w:numId w:val="1"/>
        </w:numPr>
        <w:spacing w:before="240" w:after="0" w:line="276" w:lineRule="auto"/>
        <w:contextualSpacing w:val="0"/>
        <w:jc w:val="both"/>
        <w:rPr>
          <w:rFonts w:ascii="Palatino Linotype" w:hAnsi="Palatino Linotype" w:cs="Times New Roman"/>
        </w:rPr>
      </w:pPr>
      <w:r w:rsidRPr="00A9008C">
        <w:rPr>
          <w:rFonts w:ascii="Palatino Linotype" w:hAnsi="Palatino Linotype"/>
          <w:color w:val="000000" w:themeColor="text1"/>
          <w:lang w:val="en-GB"/>
        </w:rPr>
        <w:t xml:space="preserve">The first meeting was held on 10 March 2019, during which an overview of the GEP and the latest insight from the SEEA EEA revision were presented at the meeting.  </w:t>
      </w:r>
      <w:r w:rsidR="00B13F73" w:rsidRPr="00A9008C">
        <w:rPr>
          <w:rFonts w:ascii="Palatino Linotype" w:hAnsi="Palatino Linotype"/>
          <w:color w:val="000000"/>
        </w:rPr>
        <w:t xml:space="preserve">It was </w:t>
      </w:r>
      <w:r w:rsidR="00902B12" w:rsidRPr="00A9008C">
        <w:rPr>
          <w:rFonts w:ascii="Palatino Linotype" w:hAnsi="Palatino Linotype"/>
          <w:color w:val="000000"/>
        </w:rPr>
        <w:t>noted</w:t>
      </w:r>
      <w:r w:rsidR="00B13F73" w:rsidRPr="00A9008C">
        <w:rPr>
          <w:rFonts w:ascii="Palatino Linotype" w:hAnsi="Palatino Linotype"/>
          <w:color w:val="000000"/>
        </w:rPr>
        <w:t xml:space="preserve"> that</w:t>
      </w:r>
      <w:r w:rsidR="00AC2089" w:rsidRPr="00A9008C">
        <w:rPr>
          <w:rFonts w:ascii="Palatino Linotype" w:hAnsi="Palatino Linotype"/>
          <w:color w:val="000000"/>
        </w:rPr>
        <w:t xml:space="preserve"> there are lot of similarities between</w:t>
      </w:r>
      <w:r w:rsidR="00B13F73" w:rsidRPr="00A9008C">
        <w:rPr>
          <w:rFonts w:ascii="Palatino Linotype" w:hAnsi="Palatino Linotype"/>
          <w:color w:val="000000"/>
        </w:rPr>
        <w:t xml:space="preserve"> SEEA and GEP </w:t>
      </w:r>
      <w:r w:rsidR="00AC2089" w:rsidRPr="00A9008C">
        <w:rPr>
          <w:rFonts w:ascii="Palatino Linotype" w:hAnsi="Palatino Linotype"/>
          <w:color w:val="000000"/>
        </w:rPr>
        <w:t>framework</w:t>
      </w:r>
      <w:r w:rsidR="00184CC2" w:rsidRPr="00A9008C">
        <w:rPr>
          <w:rFonts w:ascii="Palatino Linotype" w:hAnsi="Palatino Linotype"/>
          <w:color w:val="000000"/>
        </w:rPr>
        <w:t xml:space="preserve">, </w:t>
      </w:r>
      <w:r w:rsidR="00902B12" w:rsidRPr="00A9008C">
        <w:rPr>
          <w:rFonts w:ascii="Palatino Linotype" w:hAnsi="Palatino Linotype"/>
          <w:color w:val="000000"/>
        </w:rPr>
        <w:t>recognizing</w:t>
      </w:r>
      <w:r w:rsidR="00184CC2" w:rsidRPr="00A9008C">
        <w:rPr>
          <w:rFonts w:ascii="Palatino Linotype" w:hAnsi="Palatino Linotype"/>
          <w:color w:val="000000"/>
        </w:rPr>
        <w:t xml:space="preserve"> some </w:t>
      </w:r>
      <w:r w:rsidR="001026D3" w:rsidRPr="00A9008C">
        <w:rPr>
          <w:rFonts w:ascii="Palatino Linotype" w:hAnsi="Palatino Linotype"/>
          <w:color w:val="000000"/>
        </w:rPr>
        <w:t>difference</w:t>
      </w:r>
      <w:r w:rsidR="00070EA7" w:rsidRPr="00A9008C">
        <w:rPr>
          <w:rFonts w:ascii="Palatino Linotype" w:hAnsi="Palatino Linotype"/>
          <w:color w:val="000000"/>
        </w:rPr>
        <w:t xml:space="preserve"> pertaining to</w:t>
      </w:r>
      <w:r w:rsidR="00A74045" w:rsidRPr="00A9008C">
        <w:rPr>
          <w:rFonts w:ascii="Palatino Linotype" w:hAnsi="Palatino Linotype"/>
          <w:color w:val="000000"/>
        </w:rPr>
        <w:t xml:space="preserve"> some measurement concepts</w:t>
      </w:r>
      <w:r w:rsidR="001026D3" w:rsidRPr="00A9008C">
        <w:rPr>
          <w:rFonts w:ascii="Palatino Linotype" w:hAnsi="Palatino Linotype"/>
          <w:color w:val="000000"/>
        </w:rPr>
        <w:t xml:space="preserve"> exists</w:t>
      </w:r>
      <w:r w:rsidR="00184CC2" w:rsidRPr="00A9008C">
        <w:rPr>
          <w:rFonts w:ascii="Palatino Linotype" w:hAnsi="Palatino Linotype"/>
          <w:color w:val="000000"/>
        </w:rPr>
        <w:t xml:space="preserve"> between two frameworks.</w:t>
      </w:r>
      <w:r w:rsidR="00CD7AB6" w:rsidRPr="00A9008C">
        <w:rPr>
          <w:rFonts w:ascii="Palatino Linotype" w:hAnsi="Palatino Linotype"/>
          <w:color w:val="000000"/>
        </w:rPr>
        <w:t xml:space="preserve"> It was agreed to have a series of follow up meeting to address these issue</w:t>
      </w:r>
      <w:r w:rsidR="00172C13" w:rsidRPr="00A9008C">
        <w:rPr>
          <w:rFonts w:ascii="Palatino Linotype" w:hAnsi="Palatino Linotype"/>
          <w:color w:val="000000"/>
        </w:rPr>
        <w:t>s</w:t>
      </w:r>
      <w:r w:rsidR="00CD7AB6" w:rsidRPr="00A9008C">
        <w:rPr>
          <w:rFonts w:ascii="Palatino Linotype" w:hAnsi="Palatino Linotype"/>
          <w:color w:val="000000"/>
        </w:rPr>
        <w:t xml:space="preserve"> and to</w:t>
      </w:r>
      <w:r w:rsidR="00B13F73" w:rsidRPr="00A9008C">
        <w:rPr>
          <w:rFonts w:ascii="Palatino Linotype" w:hAnsi="Palatino Linotype"/>
          <w:color w:val="000000"/>
        </w:rPr>
        <w:t xml:space="preserve"> work together towards aligning the concepts and methods to implement both</w:t>
      </w:r>
      <w:r w:rsidR="00B13F73" w:rsidRPr="00BE0303">
        <w:rPr>
          <w:rFonts w:ascii="Palatino Linotype" w:hAnsi="Palatino Linotype"/>
          <w:color w:val="000000"/>
          <w:sz w:val="24"/>
          <w:szCs w:val="24"/>
        </w:rPr>
        <w:t>. </w:t>
      </w:r>
    </w:p>
    <w:p w14:paraId="7412D518" w14:textId="365D1092" w:rsidR="00C20D9C" w:rsidRDefault="00C20D9C" w:rsidP="00340ABB">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The purpos</w:t>
      </w:r>
      <w:r w:rsidR="00681D98">
        <w:rPr>
          <w:rFonts w:ascii="Palatino Linotype" w:hAnsi="Palatino Linotype" w:cs="Times New Roman"/>
        </w:rPr>
        <w:t xml:space="preserve">e </w:t>
      </w:r>
      <w:r>
        <w:rPr>
          <w:rFonts w:ascii="Palatino Linotype" w:hAnsi="Palatino Linotype" w:cs="Times New Roman"/>
        </w:rPr>
        <w:t>of the 2</w:t>
      </w:r>
      <w:r w:rsidRPr="00C20D9C">
        <w:rPr>
          <w:rFonts w:ascii="Palatino Linotype" w:hAnsi="Palatino Linotype" w:cs="Times New Roman"/>
          <w:vertAlign w:val="superscript"/>
        </w:rPr>
        <w:t>nd</w:t>
      </w:r>
      <w:r>
        <w:rPr>
          <w:rFonts w:ascii="Palatino Linotype" w:hAnsi="Palatino Linotype" w:cs="Times New Roman"/>
        </w:rPr>
        <w:t xml:space="preserve"> meeting is </w:t>
      </w:r>
      <w:r w:rsidR="00681D98">
        <w:rPr>
          <w:rFonts w:ascii="Palatino Linotype" w:hAnsi="Palatino Linotype" w:cs="Times New Roman"/>
        </w:rPr>
        <w:t>to discuss in greater details the following issues</w:t>
      </w:r>
      <w:r w:rsidR="00A9008C">
        <w:rPr>
          <w:rFonts w:ascii="Palatino Linotype" w:hAnsi="Palatino Linotype" w:cs="Times New Roman"/>
        </w:rPr>
        <w:t>:</w:t>
      </w:r>
    </w:p>
    <w:p w14:paraId="4BAEBBEF" w14:textId="3AD8B7DD" w:rsidR="007E1D52" w:rsidRPr="007E1D52" w:rsidRDefault="00681D98" w:rsidP="00BE0303">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cs="Times New Roman"/>
        </w:rPr>
        <w:t>T</w:t>
      </w:r>
      <w:r w:rsidR="007E1D52" w:rsidRPr="00456CF0">
        <w:rPr>
          <w:rFonts w:ascii="Palatino Linotype" w:hAnsi="Palatino Linotype" w:cs="Times New Roman"/>
        </w:rPr>
        <w:t>he relationship between GEP, SEEA and GDP</w:t>
      </w:r>
    </w:p>
    <w:p w14:paraId="49F5D2C1" w14:textId="6FE28715" w:rsidR="006F71FF" w:rsidRDefault="00A9008C" w:rsidP="00BE0303">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cs="Times New Roman"/>
        </w:rPr>
        <w:t>C</w:t>
      </w:r>
      <w:bookmarkStart w:id="1" w:name="_GoBack"/>
      <w:bookmarkEnd w:id="1"/>
      <w:r w:rsidR="006F71FF" w:rsidRPr="00456CF0">
        <w:rPr>
          <w:rFonts w:ascii="Palatino Linotype" w:hAnsi="Palatino Linotype" w:cs="Times New Roman"/>
        </w:rPr>
        <w:t>omparison of related case study.</w:t>
      </w:r>
    </w:p>
    <w:p w14:paraId="2174B472" w14:textId="0D31DC35" w:rsidR="006F71FF" w:rsidRDefault="00ED7450" w:rsidP="00BE0303">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cs="Times New Roman"/>
        </w:rPr>
        <w:t>Discussion on c</w:t>
      </w:r>
      <w:r w:rsidR="006F71FF" w:rsidRPr="00456CF0">
        <w:rPr>
          <w:rFonts w:ascii="Palatino Linotype" w:hAnsi="Palatino Linotype" w:cs="Times New Roman"/>
        </w:rPr>
        <w:t>oncept and measurement approach of selected ecosystem services</w:t>
      </w:r>
    </w:p>
    <w:p w14:paraId="28791901" w14:textId="77777777" w:rsidR="00260188" w:rsidRDefault="00260188" w:rsidP="00260188">
      <w:pPr>
        <w:pStyle w:val="FranklinHeader"/>
        <w:jc w:val="center"/>
        <w:rPr>
          <w:rFonts w:ascii="Palatino Linotype" w:hAnsi="Palatino Linotype"/>
        </w:rPr>
      </w:pPr>
    </w:p>
    <w:p w14:paraId="48ED9225" w14:textId="7758E5E9" w:rsidR="00172C13" w:rsidRPr="00260188" w:rsidRDefault="00172C13" w:rsidP="00260188">
      <w:pPr>
        <w:pStyle w:val="FranklinHeader"/>
        <w:jc w:val="center"/>
        <w:rPr>
          <w:rFonts w:ascii="Palatino Linotype" w:hAnsi="Palatino Linotype"/>
          <w:u w:val="single"/>
        </w:rPr>
      </w:pPr>
      <w:r w:rsidRPr="00260188">
        <w:rPr>
          <w:rFonts w:ascii="Palatino Linotype" w:hAnsi="Palatino Linotype"/>
          <w:u w:val="single"/>
        </w:rPr>
        <w:t>Relationship between GEP, SEEA and GDP</w:t>
      </w:r>
    </w:p>
    <w:p w14:paraId="6DE1B216" w14:textId="39E5B79B" w:rsidR="006F71FF" w:rsidRDefault="007E1D52" w:rsidP="006F71FF">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During the first meeting</w:t>
      </w:r>
      <w:r w:rsidR="000B523E">
        <w:rPr>
          <w:rFonts w:ascii="Palatino Linotype" w:hAnsi="Palatino Linotype" w:cs="Times New Roman"/>
        </w:rPr>
        <w:t xml:space="preserve">, the relationship of GDP and GEP was presented using the following diagram. </w:t>
      </w:r>
      <w:r w:rsidR="00206834">
        <w:rPr>
          <w:rFonts w:ascii="Palatino Linotype" w:hAnsi="Palatino Linotype" w:cs="Times New Roman"/>
        </w:rPr>
        <w:t xml:space="preserve"> </w:t>
      </w:r>
      <w:r w:rsidR="005105D6">
        <w:rPr>
          <w:rFonts w:ascii="Palatino Linotype" w:hAnsi="Palatino Linotype" w:cs="Times New Roman"/>
        </w:rPr>
        <w:t xml:space="preserve">The diagram represents a clear way to present the linkage between GEP and GDP which is easy </w:t>
      </w:r>
      <w:r w:rsidR="008B7876">
        <w:rPr>
          <w:rFonts w:ascii="Palatino Linotype" w:hAnsi="Palatino Linotype" w:cs="Times New Roman"/>
        </w:rPr>
        <w:t xml:space="preserve">for reader </w:t>
      </w:r>
      <w:r w:rsidR="005105D6">
        <w:rPr>
          <w:rFonts w:ascii="Palatino Linotype" w:hAnsi="Palatino Linotype" w:cs="Times New Roman"/>
        </w:rPr>
        <w:t>to understand.</w:t>
      </w:r>
      <w:r w:rsidR="008B7876">
        <w:rPr>
          <w:rFonts w:ascii="Palatino Linotype" w:hAnsi="Palatino Linotype" w:cs="Times New Roman"/>
        </w:rPr>
        <w:t xml:space="preserve"> It was noted when going into details sometimes the relationship </w:t>
      </w:r>
      <w:r w:rsidR="00B118A6">
        <w:rPr>
          <w:rFonts w:ascii="Palatino Linotype" w:hAnsi="Palatino Linotype" w:cs="Times New Roman"/>
        </w:rPr>
        <w:t>seems</w:t>
      </w:r>
      <w:r w:rsidR="008B7876">
        <w:rPr>
          <w:rFonts w:ascii="Palatino Linotype" w:hAnsi="Palatino Linotype" w:cs="Times New Roman"/>
        </w:rPr>
        <w:t xml:space="preserve"> not to</w:t>
      </w:r>
      <w:r w:rsidR="00B118A6">
        <w:rPr>
          <w:rFonts w:ascii="Palatino Linotype" w:hAnsi="Palatino Linotype" w:cs="Times New Roman"/>
        </w:rPr>
        <w:t xml:space="preserve"> be so</w:t>
      </w:r>
      <w:r w:rsidR="008B7876">
        <w:rPr>
          <w:rFonts w:ascii="Palatino Linotype" w:hAnsi="Palatino Linotype" w:cs="Times New Roman"/>
        </w:rPr>
        <w:t xml:space="preserve"> clear cut. </w:t>
      </w:r>
      <w:r w:rsidR="005105D6">
        <w:rPr>
          <w:rFonts w:ascii="Palatino Linotype" w:hAnsi="Palatino Linotype" w:cs="Times New Roman"/>
        </w:rPr>
        <w:t xml:space="preserve"> </w:t>
      </w:r>
    </w:p>
    <w:p w14:paraId="5725842A" w14:textId="1A0E8336" w:rsidR="00EA15D5" w:rsidRDefault="008B1218" w:rsidP="00EA15D5">
      <w:pPr>
        <w:spacing w:before="240" w:after="0" w:line="276" w:lineRule="auto"/>
        <w:jc w:val="both"/>
        <w:rPr>
          <w:rFonts w:ascii="Palatino Linotype" w:hAnsi="Palatino Linotype" w:cs="Times New Roman"/>
        </w:rPr>
      </w:pPr>
      <w:r w:rsidRPr="008B1218">
        <w:rPr>
          <w:rFonts w:ascii="Palatino Linotype" w:hAnsi="Palatino Linotype" w:cs="Times New Roman"/>
          <w:noProof/>
        </w:rPr>
        <w:drawing>
          <wp:inline distT="0" distB="0" distL="0" distR="0" wp14:anchorId="126D54AA" wp14:editId="0210FB2B">
            <wp:extent cx="4658586" cy="3600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6993" cy="3606948"/>
                    </a:xfrm>
                    <a:prstGeom prst="rect">
                      <a:avLst/>
                    </a:prstGeom>
                    <a:noFill/>
                    <a:ln>
                      <a:noFill/>
                    </a:ln>
                  </pic:spPr>
                </pic:pic>
              </a:graphicData>
            </a:graphic>
          </wp:inline>
        </w:drawing>
      </w:r>
    </w:p>
    <w:p w14:paraId="0BB64AF4" w14:textId="1AF66E78" w:rsidR="00820888" w:rsidRDefault="00B118A6" w:rsidP="00BA463B">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lastRenderedPageBreak/>
        <w:t>The first issue encountered is that sometimes the value of</w:t>
      </w:r>
      <w:r w:rsidR="001D52A5">
        <w:rPr>
          <w:rFonts w:ascii="Palatino Linotype" w:hAnsi="Palatino Linotype" w:cs="Times New Roman"/>
        </w:rPr>
        <w:t xml:space="preserve"> regulating or cultural services may also be included in SNA in an implicit way. </w:t>
      </w:r>
      <w:r w:rsidR="00853837">
        <w:rPr>
          <w:rFonts w:ascii="Palatino Linotype" w:hAnsi="Palatino Linotype" w:cs="Times New Roman"/>
        </w:rPr>
        <w:t>During the recent development of the Guidance on</w:t>
      </w:r>
      <w:r w:rsidR="00451710">
        <w:rPr>
          <w:rFonts w:ascii="Palatino Linotype" w:hAnsi="Palatino Linotype" w:cs="Times New Roman"/>
        </w:rPr>
        <w:t xml:space="preserve"> valuation </w:t>
      </w:r>
      <w:r w:rsidR="00853837">
        <w:rPr>
          <w:rFonts w:ascii="Palatino Linotype" w:hAnsi="Palatino Linotype" w:cs="Times New Roman"/>
        </w:rPr>
        <w:t>for ecosystem accounting, a preliminary a</w:t>
      </w:r>
      <w:r w:rsidR="00820888">
        <w:rPr>
          <w:rFonts w:ascii="Palatino Linotype" w:hAnsi="Palatino Linotype" w:cs="Times New Roman"/>
        </w:rPr>
        <w:t xml:space="preserve">nalysis was </w:t>
      </w:r>
      <w:r w:rsidR="005618AE">
        <w:rPr>
          <w:rFonts w:ascii="Palatino Linotype" w:hAnsi="Palatino Linotype" w:cs="Times New Roman"/>
        </w:rPr>
        <w:t>undertaken to examine whether</w:t>
      </w:r>
      <w:r w:rsidR="00820888">
        <w:rPr>
          <w:rFonts w:ascii="Palatino Linotype" w:hAnsi="Palatino Linotype" w:cs="Times New Roman"/>
        </w:rPr>
        <w:t xml:space="preserve"> the value of selected ecosystem services </w:t>
      </w:r>
      <w:r w:rsidR="00BA463B">
        <w:rPr>
          <w:rFonts w:ascii="Palatino Linotype" w:hAnsi="Palatino Linotype" w:cs="Times New Roman"/>
        </w:rPr>
        <w:t>is</w:t>
      </w:r>
      <w:r w:rsidR="00820888">
        <w:rPr>
          <w:rFonts w:ascii="Palatino Linotype" w:hAnsi="Palatino Linotype" w:cs="Times New Roman"/>
        </w:rPr>
        <w:t xml:space="preserve"> included in SNA</w:t>
      </w:r>
      <w:r w:rsidR="005618AE">
        <w:rPr>
          <w:rFonts w:ascii="Palatino Linotype" w:hAnsi="Palatino Linotype" w:cs="Times New Roman"/>
        </w:rPr>
        <w:t xml:space="preserve"> or not. </w:t>
      </w:r>
    </w:p>
    <w:p w14:paraId="61B85003" w14:textId="77777777" w:rsidR="00BA463B" w:rsidRPr="00BA463B" w:rsidRDefault="00BA463B" w:rsidP="00BA463B">
      <w:pPr>
        <w:spacing w:before="240" w:after="0" w:line="276" w:lineRule="auto"/>
        <w:jc w:val="both"/>
        <w:rPr>
          <w:rFonts w:ascii="Palatino Linotype" w:hAnsi="Palatino Linotype" w:cs="Times New Roman"/>
        </w:rPr>
      </w:pPr>
    </w:p>
    <w:tbl>
      <w:tblPr>
        <w:tblW w:w="9351" w:type="dxa"/>
        <w:tblCellMar>
          <w:left w:w="0" w:type="dxa"/>
          <w:right w:w="0" w:type="dxa"/>
        </w:tblCellMar>
        <w:tblLook w:val="04A0" w:firstRow="1" w:lastRow="0" w:firstColumn="1" w:lastColumn="0" w:noHBand="0" w:noVBand="1"/>
      </w:tblPr>
      <w:tblGrid>
        <w:gridCol w:w="3136"/>
        <w:gridCol w:w="1425"/>
        <w:gridCol w:w="1249"/>
        <w:gridCol w:w="3541"/>
      </w:tblGrid>
      <w:tr w:rsidR="008217AF" w:rsidRPr="00BA463B" w14:paraId="6BF6C521" w14:textId="77777777" w:rsidTr="00A54F89">
        <w:tc>
          <w:tcPr>
            <w:tcW w:w="3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002A4" w14:textId="1107684A" w:rsidR="008217AF" w:rsidRPr="00BA463B" w:rsidRDefault="008217AF">
            <w:pPr>
              <w:rPr>
                <w:rFonts w:ascii="Palatino Linotype" w:eastAsiaTheme="minorEastAsia" w:hAnsi="Palatino Linotype"/>
                <w:sz w:val="20"/>
                <w:szCs w:val="20"/>
                <w:lang w:val="en-GB" w:eastAsia="zh-TW"/>
              </w:rPr>
            </w:pPr>
            <w:r w:rsidRPr="00BA463B">
              <w:rPr>
                <w:rFonts w:ascii="Palatino Linotype" w:eastAsia="Times New Roman" w:hAnsi="Palatino Linotype"/>
                <w:sz w:val="20"/>
                <w:szCs w:val="20"/>
                <w:lang w:val="en-GB"/>
              </w:rPr>
              <w:br w:type="page"/>
            </w:r>
            <w:r w:rsidRPr="00BA463B">
              <w:rPr>
                <w:rFonts w:ascii="Palatino Linotype" w:hAnsi="Palatino Linotype"/>
                <w:sz w:val="20"/>
                <w:szCs w:val="20"/>
                <w:lang w:val="en-GB"/>
              </w:rPr>
              <w:t>E</w:t>
            </w:r>
            <w:r w:rsidR="00C6044E" w:rsidRPr="00BA463B">
              <w:rPr>
                <w:rFonts w:ascii="Palatino Linotype" w:hAnsi="Palatino Linotype"/>
                <w:sz w:val="20"/>
                <w:szCs w:val="20"/>
                <w:lang w:val="en-GB"/>
              </w:rPr>
              <w:t>cosystem service</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202A1"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Included in SNA</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BA50A"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Sectors</w:t>
            </w:r>
          </w:p>
        </w:tc>
        <w:tc>
          <w:tcPr>
            <w:tcW w:w="3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76692"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Methods/Comments</w:t>
            </w:r>
          </w:p>
        </w:tc>
      </w:tr>
      <w:tr w:rsidR="008217AF" w:rsidRPr="00BA463B" w14:paraId="009481E1"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577E0"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Cultivated biomass from agriculture</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0804B401"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377A45EF"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Agriculture</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68D9A4CF"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Market rental value of land if available. Residual value if not.  Both used in some pilot accounts</w:t>
            </w:r>
          </w:p>
        </w:tc>
      </w:tr>
      <w:tr w:rsidR="008217AF" w:rsidRPr="00BA463B" w14:paraId="0D3ED603"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3EB2"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Cultivated biomass from forests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343D2814"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29375E69"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Forestry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4C2D9F23"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Market rental value of land. Implicit User Cost.  Both used in some pilot accounts</w:t>
            </w:r>
          </w:p>
        </w:tc>
      </w:tr>
      <w:tr w:rsidR="008217AF" w:rsidRPr="00BA463B" w14:paraId="24BE2864"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4F1D4"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Cultivated biomass from fisheries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8DE2975"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5DE9465E"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Fishery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593D6E52"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Production function.  Residual value.  Only residual value used in some pilot accounts</w:t>
            </w:r>
          </w:p>
        </w:tc>
      </w:tr>
      <w:tr w:rsidR="008217AF" w:rsidRPr="00BA463B" w14:paraId="7F4B679F"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4DAF"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Uncultivated biomass from agriculture</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285105BF"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47563BB1"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Agriculture</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523CBDD5"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Replacement cost.  Crude production function possible.</w:t>
            </w:r>
          </w:p>
        </w:tc>
      </w:tr>
      <w:tr w:rsidR="008217AF" w:rsidRPr="00BA463B" w14:paraId="60A3BF7C"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33766"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Wild animals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6401089D"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16B45098"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Agriculture</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1E849DBB"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Residual value from market transactions used in some pilot accounts</w:t>
            </w:r>
          </w:p>
        </w:tc>
      </w:tr>
      <w:tr w:rsidR="008217AF" w:rsidRPr="00BA463B" w14:paraId="5C85DADC"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ECDD"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Uncultivated biomass from forests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698C9494"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512CD7BE"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Forestry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405D7608"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 xml:space="preserve">Stumpage value (2) </w:t>
            </w:r>
          </w:p>
        </w:tc>
      </w:tr>
      <w:tr w:rsidR="008217AF" w:rsidRPr="00BA463B" w14:paraId="3FB0E406"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A0E7B"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Uncultivated biomass from fishery &amp; marine environments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667A2F04"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86A9E57"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Fishery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2D497368"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 xml:space="preserve">Production function (Capture fishery). </w:t>
            </w:r>
          </w:p>
          <w:p w14:paraId="75DD23BC"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Residual value (Seagrasses)</w:t>
            </w:r>
          </w:p>
        </w:tc>
      </w:tr>
      <w:tr w:rsidR="008217AF" w:rsidRPr="00BA463B" w14:paraId="719E71A5"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8966C"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Carbon sequestration</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301F515A"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No</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3C80B24E"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Several</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30451C93"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Marginal cost of abatement. Carbon related instruments such as taxes are recorded in the national accounts in many countries</w:t>
            </w:r>
          </w:p>
          <w:p w14:paraId="6665FCC1"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Social cost of carbon.</w:t>
            </w:r>
          </w:p>
        </w:tc>
      </w:tr>
      <w:tr w:rsidR="008217AF" w:rsidRPr="00BA463B" w14:paraId="1D39E186"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AB89B"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Air filtration</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0D090148"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2D82DB02"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Health</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1018A9E1"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VSL or DALY plus Costs of Morbidity (3)</w:t>
            </w:r>
          </w:p>
        </w:tc>
      </w:tr>
      <w:tr w:rsidR="008217AF" w:rsidRPr="00BA463B" w14:paraId="31727B50"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DA1C7"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lastRenderedPageBreak/>
              <w:t>Soil erosion prevention</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64842FCC"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3E2AA384"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 xml:space="preserve">Agriculture </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04CFC2D8"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Production function. Replacement cost.</w:t>
            </w:r>
          </w:p>
        </w:tc>
      </w:tr>
      <w:tr w:rsidR="008217AF" w:rsidRPr="00BA463B" w14:paraId="6272B096"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1714D"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Water purification</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3C944428"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1F077A51"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Utility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7CEC2959"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Market Transactions (4).</w:t>
            </w:r>
          </w:p>
          <w:p w14:paraId="0AFB36D1"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Avoided artificial purification costs and costs of artificial treatment (5)</w:t>
            </w:r>
          </w:p>
        </w:tc>
      </w:tr>
      <w:tr w:rsidR="008217AF" w:rsidRPr="00BA463B" w14:paraId="2ECCF5E6"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D6154"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Water regulation</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01BBB081"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186F084D"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Utility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769E37BB"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Value of services based on damages avoided and costs of provision (5)</w:t>
            </w:r>
          </w:p>
        </w:tc>
      </w:tr>
      <w:tr w:rsidR="008217AF" w:rsidRPr="00BA463B" w14:paraId="017B59F7"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240DD"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Water supply</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97F1CA0"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C7A04C2"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Utility</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7015701F"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Residual value. Production function.</w:t>
            </w:r>
          </w:p>
        </w:tc>
      </w:tr>
      <w:tr w:rsidR="008217AF" w:rsidRPr="00BA463B" w14:paraId="72269108"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70037"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Recreation enabling services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7D10339E"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1992084"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Public service</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1A816C5B"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Value of services estimated from revealed preference or stated preference and costs of provision (5)</w:t>
            </w:r>
          </w:p>
        </w:tc>
      </w:tr>
      <w:tr w:rsidR="008217AF" w:rsidRPr="00BA463B" w14:paraId="48281579" w14:textId="77777777" w:rsidTr="00A54F89">
        <w:tc>
          <w:tcPr>
            <w:tcW w:w="3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6E607"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Habitat &amp; biodiversity-related services</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40379C7"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Yes</w:t>
            </w:r>
          </w:p>
          <w:p w14:paraId="24639BF7"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Partial</w:t>
            </w:r>
          </w:p>
          <w:p w14:paraId="1C630FF3"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No</w:t>
            </w:r>
          </w:p>
          <w:p w14:paraId="1F67A01E" w14:textId="77777777" w:rsidR="008217AF" w:rsidRPr="00BA463B" w:rsidRDefault="008217AF">
            <w:pPr>
              <w:jc w:val="center"/>
              <w:rPr>
                <w:rFonts w:ascii="Palatino Linotype" w:hAnsi="Palatino Linotype"/>
                <w:sz w:val="20"/>
                <w:szCs w:val="20"/>
                <w:lang w:val="en-GB"/>
              </w:rPr>
            </w:pPr>
            <w:r w:rsidRPr="00BA463B">
              <w:rPr>
                <w:rFonts w:ascii="Palatino Linotype" w:hAnsi="Palatino Linotype"/>
                <w:sz w:val="20"/>
                <w:szCs w:val="20"/>
                <w:lang w:val="en-GB"/>
              </w:rPr>
              <w:t>No</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65765345"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Agriculture</w:t>
            </w:r>
          </w:p>
          <w:p w14:paraId="07657D00"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Rural public service</w:t>
            </w:r>
          </w:p>
        </w:tc>
        <w:tc>
          <w:tcPr>
            <w:tcW w:w="3541" w:type="dxa"/>
            <w:tcBorders>
              <w:top w:val="nil"/>
              <w:left w:val="nil"/>
              <w:bottom w:val="single" w:sz="8" w:space="0" w:color="auto"/>
              <w:right w:val="single" w:sz="8" w:space="0" w:color="auto"/>
            </w:tcBorders>
            <w:tcMar>
              <w:top w:w="0" w:type="dxa"/>
              <w:left w:w="108" w:type="dxa"/>
              <w:bottom w:w="0" w:type="dxa"/>
              <w:right w:w="108" w:type="dxa"/>
            </w:tcMar>
            <w:hideMark/>
          </w:tcPr>
          <w:p w14:paraId="5B7910EF"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Nursery: Residual value</w:t>
            </w:r>
          </w:p>
          <w:p w14:paraId="4E8B99E8"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Habitat: Prospecting transaction data</w:t>
            </w:r>
          </w:p>
          <w:p w14:paraId="5C9C4780"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Cultural: Travel cost</w:t>
            </w:r>
          </w:p>
          <w:p w14:paraId="726FDAC1" w14:textId="77777777" w:rsidR="008217AF" w:rsidRPr="00BA463B" w:rsidRDefault="008217AF">
            <w:pPr>
              <w:rPr>
                <w:rFonts w:ascii="Palatino Linotype" w:hAnsi="Palatino Linotype"/>
                <w:sz w:val="20"/>
                <w:szCs w:val="20"/>
                <w:lang w:val="en-GB"/>
              </w:rPr>
            </w:pPr>
            <w:r w:rsidRPr="00BA463B">
              <w:rPr>
                <w:rFonts w:ascii="Palatino Linotype" w:hAnsi="Palatino Linotype"/>
                <w:sz w:val="20"/>
                <w:szCs w:val="20"/>
                <w:lang w:val="en-GB"/>
              </w:rPr>
              <w:t>Non-Use:  Stated Preference</w:t>
            </w:r>
          </w:p>
        </w:tc>
      </w:tr>
    </w:tbl>
    <w:p w14:paraId="6B869154" w14:textId="77777777" w:rsidR="00A54F89" w:rsidRPr="00C945D7" w:rsidRDefault="00A54F89" w:rsidP="00A54F89">
      <w:pPr>
        <w:pStyle w:val="ListParagraph"/>
        <w:numPr>
          <w:ilvl w:val="0"/>
          <w:numId w:val="6"/>
        </w:numPr>
        <w:spacing w:line="252" w:lineRule="auto"/>
        <w:rPr>
          <w:rFonts w:ascii="Palatino Linotype" w:eastAsia="Times New Roman" w:hAnsi="Palatino Linotype"/>
          <w:sz w:val="16"/>
          <w:szCs w:val="16"/>
          <w:lang w:val="en-GB" w:eastAsia="zh-TW"/>
        </w:rPr>
      </w:pPr>
      <w:r w:rsidRPr="00C945D7">
        <w:rPr>
          <w:rFonts w:ascii="Palatino Linotype" w:hAnsi="Palatino Linotype"/>
          <w:sz w:val="16"/>
          <w:szCs w:val="16"/>
          <w:lang w:val="en-GB"/>
        </w:rPr>
        <w:t>Methods are listed in order of priority if more than one is proposed.</w:t>
      </w:r>
    </w:p>
    <w:p w14:paraId="2482272C" w14:textId="77777777" w:rsidR="00A54F89" w:rsidRPr="00C945D7" w:rsidRDefault="00A54F89" w:rsidP="00A54F89">
      <w:pPr>
        <w:pStyle w:val="ListParagraph"/>
        <w:numPr>
          <w:ilvl w:val="0"/>
          <w:numId w:val="6"/>
        </w:numPr>
        <w:spacing w:line="252" w:lineRule="auto"/>
        <w:rPr>
          <w:rFonts w:ascii="Palatino Linotype" w:hAnsi="Palatino Linotype"/>
          <w:sz w:val="16"/>
          <w:szCs w:val="16"/>
          <w:lang w:val="en-GB"/>
        </w:rPr>
      </w:pPr>
      <w:r w:rsidRPr="00C945D7">
        <w:rPr>
          <w:rFonts w:ascii="Palatino Linotype" w:hAnsi="Palatino Linotype"/>
          <w:sz w:val="16"/>
          <w:szCs w:val="16"/>
          <w:lang w:val="en-GB"/>
        </w:rPr>
        <w:t>A lot of transactions are in the informal sector and illegal, which makes valuation difficult.</w:t>
      </w:r>
    </w:p>
    <w:p w14:paraId="30258CF1" w14:textId="77777777" w:rsidR="00A54F89" w:rsidRPr="00C945D7" w:rsidRDefault="00A54F89" w:rsidP="00A54F89">
      <w:pPr>
        <w:pStyle w:val="ListParagraph"/>
        <w:numPr>
          <w:ilvl w:val="0"/>
          <w:numId w:val="6"/>
        </w:numPr>
        <w:spacing w:line="252" w:lineRule="auto"/>
        <w:rPr>
          <w:rFonts w:ascii="Palatino Linotype" w:hAnsi="Palatino Linotype"/>
          <w:sz w:val="16"/>
          <w:szCs w:val="16"/>
          <w:lang w:val="en-GB"/>
        </w:rPr>
      </w:pPr>
      <w:r w:rsidRPr="00C945D7">
        <w:rPr>
          <w:rFonts w:ascii="Palatino Linotype" w:hAnsi="Palatino Linotype"/>
          <w:sz w:val="16"/>
          <w:szCs w:val="16"/>
          <w:lang w:val="en-GB"/>
        </w:rPr>
        <w:t>The service would appear in the SNA accounts as lowering GDP, because it reduces health costs</w:t>
      </w:r>
    </w:p>
    <w:p w14:paraId="2B9CB7BE" w14:textId="77777777" w:rsidR="00A54F89" w:rsidRPr="00C945D7" w:rsidRDefault="00A54F89" w:rsidP="00A54F89">
      <w:pPr>
        <w:pStyle w:val="ListParagraph"/>
        <w:numPr>
          <w:ilvl w:val="0"/>
          <w:numId w:val="6"/>
        </w:numPr>
        <w:spacing w:line="252" w:lineRule="auto"/>
        <w:rPr>
          <w:rFonts w:ascii="Palatino Linotype" w:hAnsi="Palatino Linotype"/>
          <w:sz w:val="16"/>
          <w:szCs w:val="16"/>
          <w:lang w:val="en-GB"/>
        </w:rPr>
      </w:pPr>
      <w:r w:rsidRPr="00C945D7">
        <w:rPr>
          <w:rFonts w:ascii="Palatino Linotype" w:hAnsi="Palatino Linotype"/>
          <w:sz w:val="16"/>
          <w:szCs w:val="16"/>
          <w:lang w:val="en-GB"/>
        </w:rPr>
        <w:t>Market data on price of water is highly regulated and often not close to MTWP</w:t>
      </w:r>
    </w:p>
    <w:p w14:paraId="36EBC47C" w14:textId="28A96F32" w:rsidR="008C5969" w:rsidRPr="00C945D7" w:rsidRDefault="00A54F89" w:rsidP="00C945D7">
      <w:pPr>
        <w:pStyle w:val="ListParagraph"/>
        <w:numPr>
          <w:ilvl w:val="0"/>
          <w:numId w:val="6"/>
        </w:numPr>
        <w:spacing w:line="252" w:lineRule="auto"/>
        <w:rPr>
          <w:sz w:val="16"/>
          <w:szCs w:val="16"/>
          <w:lang w:val="en-GB"/>
        </w:rPr>
      </w:pPr>
      <w:r w:rsidRPr="00C945D7">
        <w:rPr>
          <w:rFonts w:ascii="Palatino Linotype" w:hAnsi="Palatino Linotype"/>
          <w:sz w:val="16"/>
          <w:szCs w:val="16"/>
          <w:lang w:val="en-GB"/>
        </w:rPr>
        <w:t>The appropriate value is somewhere between the demand value and cost of supply.  Methods for fixing it are in development</w:t>
      </w:r>
      <w:r w:rsidRPr="00C945D7">
        <w:rPr>
          <w:sz w:val="16"/>
          <w:szCs w:val="16"/>
          <w:lang w:val="en-GB"/>
        </w:rPr>
        <w:t>.</w:t>
      </w:r>
    </w:p>
    <w:p w14:paraId="083F715C" w14:textId="77777777" w:rsidR="005C1333" w:rsidRDefault="005C1333" w:rsidP="005C1333">
      <w:pPr>
        <w:pStyle w:val="ListParagraph"/>
        <w:spacing w:before="240" w:after="0" w:line="276" w:lineRule="auto"/>
        <w:ind w:left="360"/>
        <w:contextualSpacing w:val="0"/>
        <w:jc w:val="both"/>
        <w:rPr>
          <w:rFonts w:ascii="Palatino Linotype" w:hAnsi="Palatino Linotype" w:cs="Times New Roman"/>
        </w:rPr>
      </w:pPr>
    </w:p>
    <w:p w14:paraId="096B3B87" w14:textId="2D613EEF" w:rsidR="00BA463B" w:rsidRPr="0008296E" w:rsidRDefault="00385A64" w:rsidP="0008296E">
      <w:pPr>
        <w:pStyle w:val="ListParagraph"/>
        <w:numPr>
          <w:ilvl w:val="0"/>
          <w:numId w:val="1"/>
        </w:numPr>
        <w:spacing w:before="240" w:after="0" w:line="276" w:lineRule="auto"/>
        <w:contextualSpacing w:val="0"/>
        <w:jc w:val="both"/>
        <w:rPr>
          <w:rFonts w:ascii="Palatino Linotype" w:hAnsi="Palatino Linotype" w:cs="Times New Roman"/>
        </w:rPr>
      </w:pPr>
      <w:r w:rsidRPr="00AB73D0">
        <w:rPr>
          <w:rFonts w:ascii="Palatino Linotype" w:hAnsi="Palatino Linotype" w:cs="Times New Roman"/>
        </w:rPr>
        <w:t xml:space="preserve">Another issue </w:t>
      </w:r>
      <w:r w:rsidR="009C42ED" w:rsidRPr="00AB73D0">
        <w:rPr>
          <w:rFonts w:ascii="Palatino Linotype" w:hAnsi="Palatino Linotype" w:cs="Times New Roman"/>
        </w:rPr>
        <w:t xml:space="preserve">is </w:t>
      </w:r>
      <w:r w:rsidR="00912883" w:rsidRPr="00AB73D0">
        <w:rPr>
          <w:rFonts w:ascii="Palatino Linotype" w:hAnsi="Palatino Linotype" w:cs="Times New Roman"/>
        </w:rPr>
        <w:t xml:space="preserve">the </w:t>
      </w:r>
      <w:r w:rsidR="009C42ED" w:rsidRPr="00AB73D0">
        <w:rPr>
          <w:rFonts w:ascii="Palatino Linotype" w:hAnsi="Palatino Linotype" w:cs="Times New Roman"/>
        </w:rPr>
        <w:t xml:space="preserve">area of </w:t>
      </w:r>
      <w:r w:rsidR="00912883" w:rsidRPr="00AB73D0">
        <w:rPr>
          <w:rFonts w:ascii="Palatino Linotype" w:hAnsi="Palatino Linotype" w:cs="Times New Roman"/>
        </w:rPr>
        <w:t>intersection of GEP</w:t>
      </w:r>
      <w:r w:rsidR="009C42ED" w:rsidRPr="00AB73D0">
        <w:rPr>
          <w:rFonts w:ascii="Palatino Linotype" w:hAnsi="Palatino Linotype" w:cs="Times New Roman"/>
        </w:rPr>
        <w:t>/SEEA</w:t>
      </w:r>
      <w:r w:rsidR="00912883" w:rsidRPr="00AB73D0">
        <w:rPr>
          <w:rFonts w:ascii="Palatino Linotype" w:hAnsi="Palatino Linotype" w:cs="Times New Roman"/>
        </w:rPr>
        <w:t xml:space="preserve"> and GDP</w:t>
      </w:r>
      <w:r w:rsidR="009C42ED" w:rsidRPr="00AB73D0">
        <w:rPr>
          <w:rFonts w:ascii="Palatino Linotype" w:hAnsi="Palatino Linotype" w:cs="Times New Roman"/>
        </w:rPr>
        <w:t xml:space="preserve"> as shown in the diagram. </w:t>
      </w:r>
      <w:r w:rsidR="00C472C6">
        <w:rPr>
          <w:rFonts w:ascii="Palatino Linotype" w:hAnsi="Palatino Linotype" w:cs="Times New Roman"/>
        </w:rPr>
        <w:t>In terms of biomass provision</w:t>
      </w:r>
      <w:r w:rsidR="006057A1">
        <w:rPr>
          <w:rFonts w:ascii="Palatino Linotype" w:hAnsi="Palatino Linotype" w:cs="Times New Roman"/>
        </w:rPr>
        <w:t>ing</w:t>
      </w:r>
      <w:r w:rsidR="00C472C6">
        <w:rPr>
          <w:rFonts w:ascii="Palatino Linotype" w:hAnsi="Palatino Linotype" w:cs="Times New Roman"/>
        </w:rPr>
        <w:t xml:space="preserve"> service, </w:t>
      </w:r>
      <w:r w:rsidR="001D52A5">
        <w:rPr>
          <w:rFonts w:ascii="Palatino Linotype" w:hAnsi="Palatino Linotype" w:cs="Times New Roman"/>
        </w:rPr>
        <w:t>it</w:t>
      </w:r>
      <w:r w:rsidR="00190664">
        <w:rPr>
          <w:rFonts w:ascii="Palatino Linotype" w:hAnsi="Palatino Linotype" w:cs="Times New Roman"/>
        </w:rPr>
        <w:t xml:space="preserve"> is</w:t>
      </w:r>
      <w:r w:rsidR="009C42ED" w:rsidRPr="00AB73D0">
        <w:rPr>
          <w:rFonts w:ascii="Palatino Linotype" w:hAnsi="Palatino Linotype" w:cs="Times New Roman"/>
        </w:rPr>
        <w:t xml:space="preserve"> suggested</w:t>
      </w:r>
      <w:r w:rsidR="00DD2B01" w:rsidRPr="00AB73D0">
        <w:rPr>
          <w:rFonts w:ascii="Palatino Linotype" w:hAnsi="Palatino Linotype" w:cs="Times New Roman"/>
        </w:rPr>
        <w:t xml:space="preserve"> </w:t>
      </w:r>
      <w:r w:rsidR="005C1333">
        <w:rPr>
          <w:rFonts w:ascii="Palatino Linotype" w:hAnsi="Palatino Linotype" w:cs="Times New Roman"/>
        </w:rPr>
        <w:t>there</w:t>
      </w:r>
      <w:r w:rsidR="00190664">
        <w:rPr>
          <w:rFonts w:ascii="Palatino Linotype" w:hAnsi="Palatino Linotype" w:cs="Times New Roman"/>
        </w:rPr>
        <w:t xml:space="preserve"> are</w:t>
      </w:r>
      <w:r w:rsidR="005C1333">
        <w:rPr>
          <w:rFonts w:ascii="Palatino Linotype" w:hAnsi="Palatino Linotype" w:cs="Times New Roman"/>
        </w:rPr>
        <w:t xml:space="preserve"> difference</w:t>
      </w:r>
      <w:r w:rsidR="00190664">
        <w:rPr>
          <w:rFonts w:ascii="Palatino Linotype" w:hAnsi="Palatino Linotype" w:cs="Times New Roman"/>
        </w:rPr>
        <w:t>s</w:t>
      </w:r>
      <w:r w:rsidR="00430797">
        <w:rPr>
          <w:rFonts w:ascii="Palatino Linotype" w:hAnsi="Palatino Linotype" w:cs="Times New Roman"/>
        </w:rPr>
        <w:t xml:space="preserve"> on</w:t>
      </w:r>
      <w:r w:rsidR="00275FF5">
        <w:rPr>
          <w:rFonts w:ascii="Palatino Linotype" w:hAnsi="Palatino Linotype" w:cs="Times New Roman"/>
        </w:rPr>
        <w:t xml:space="preserve"> what goes into the GDP (benefit, for example agriculture product) and what goes into GEP (ecosystem service</w:t>
      </w:r>
      <w:r w:rsidR="00C472C6">
        <w:rPr>
          <w:rFonts w:ascii="Palatino Linotype" w:hAnsi="Palatino Linotype" w:cs="Times New Roman"/>
        </w:rPr>
        <w:t>, ecological contribution to the agriculture product)</w:t>
      </w:r>
    </w:p>
    <w:p w14:paraId="08AAE811" w14:textId="751418E4" w:rsidR="008C5969" w:rsidRPr="00913913" w:rsidRDefault="00891D52" w:rsidP="00EA15D5">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 xml:space="preserve">It is suggested the meeting </w:t>
      </w:r>
      <w:r w:rsidR="00706A6A">
        <w:rPr>
          <w:rFonts w:ascii="Palatino Linotype" w:hAnsi="Palatino Linotype" w:cs="Times New Roman"/>
        </w:rPr>
        <w:t>can</w:t>
      </w:r>
      <w:r w:rsidR="007E1643">
        <w:rPr>
          <w:rFonts w:ascii="Palatino Linotype" w:hAnsi="Palatino Linotype" w:cs="Times New Roman"/>
        </w:rPr>
        <w:t xml:space="preserve"> further explore the relationship between GEP, SEEA and GDP building on the existing diagram</w:t>
      </w:r>
      <w:r w:rsidR="00486333">
        <w:rPr>
          <w:rFonts w:ascii="Palatino Linotype" w:hAnsi="Palatino Linotype" w:cs="Times New Roman"/>
        </w:rPr>
        <w:t>.</w:t>
      </w:r>
    </w:p>
    <w:p w14:paraId="5EC46569" w14:textId="0404128E" w:rsidR="005105D6" w:rsidRDefault="005105D6">
      <w:pPr>
        <w:rPr>
          <w:rFonts w:ascii="Palatino Linotype" w:hAnsi="Palatino Linotype" w:cs="Times New Roman"/>
          <w:i/>
          <w:iCs/>
        </w:rPr>
      </w:pPr>
    </w:p>
    <w:p w14:paraId="75AF9136" w14:textId="77777777" w:rsidR="009B5C21" w:rsidRDefault="009B5C21">
      <w:pPr>
        <w:rPr>
          <w:rFonts w:ascii="Palatino Linotype" w:eastAsia="MS Mincho" w:hAnsi="Palatino Linotype" w:cs="Times New Roman"/>
          <w:color w:val="2F7BB4"/>
          <w:sz w:val="28"/>
          <w:szCs w:val="28"/>
          <w:u w:val="single"/>
        </w:rPr>
      </w:pPr>
      <w:r>
        <w:rPr>
          <w:rFonts w:ascii="Palatino Linotype" w:hAnsi="Palatino Linotype"/>
          <w:u w:val="single"/>
        </w:rPr>
        <w:br w:type="page"/>
      </w:r>
    </w:p>
    <w:p w14:paraId="795F4D07" w14:textId="2FC6B8E2" w:rsidR="00EA15D5" w:rsidRPr="00260188" w:rsidRDefault="00AE55E0" w:rsidP="00260188">
      <w:pPr>
        <w:pStyle w:val="FranklinHeader"/>
        <w:jc w:val="center"/>
        <w:rPr>
          <w:rFonts w:ascii="Palatino Linotype" w:hAnsi="Palatino Linotype"/>
          <w:u w:val="single"/>
        </w:rPr>
      </w:pPr>
      <w:r w:rsidRPr="00260188">
        <w:rPr>
          <w:rFonts w:ascii="Palatino Linotype" w:hAnsi="Palatino Linotype"/>
          <w:u w:val="single"/>
        </w:rPr>
        <w:lastRenderedPageBreak/>
        <w:t>Comparison of related case stud</w:t>
      </w:r>
      <w:r w:rsidR="00260188" w:rsidRPr="00260188">
        <w:rPr>
          <w:rFonts w:ascii="Palatino Linotype" w:hAnsi="Palatino Linotype"/>
          <w:u w:val="single"/>
        </w:rPr>
        <w:t>ies</w:t>
      </w:r>
    </w:p>
    <w:p w14:paraId="6FF4E7FC" w14:textId="41B0A626" w:rsidR="006F71FF" w:rsidRDefault="00661569" w:rsidP="006F71FF">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 xml:space="preserve">The GEP study in Qinghai noted that </w:t>
      </w:r>
      <w:r w:rsidR="007C4E5B" w:rsidRPr="007C4E5B">
        <w:rPr>
          <w:rFonts w:ascii="Palatino Linotype" w:hAnsi="Palatino Linotype" w:cs="Times New Roman"/>
          <w:i/>
          <w:iCs/>
        </w:rPr>
        <w:t>In Qinghai, GEP was greater than GDP in 2000 and 3/4th as large as GDP in 2015 as its market economy grew</w:t>
      </w:r>
      <w:r w:rsidR="007C4E5B" w:rsidRPr="007C4E5B">
        <w:rPr>
          <w:rFonts w:ascii="Palatino Linotype" w:hAnsi="Palatino Linotype" w:cs="Times New Roman"/>
        </w:rPr>
        <w:t>.</w:t>
      </w:r>
      <w:r w:rsidR="00093DDF">
        <w:rPr>
          <w:rFonts w:ascii="Palatino Linotype" w:hAnsi="Palatino Linotype" w:cs="Times New Roman"/>
        </w:rPr>
        <w:t>”</w:t>
      </w:r>
      <w:r w:rsidR="00E46178">
        <w:rPr>
          <w:rFonts w:ascii="Palatino Linotype" w:hAnsi="Palatino Linotype" w:cs="Times New Roman"/>
        </w:rPr>
        <w:t>. Howev</w:t>
      </w:r>
      <w:r w:rsidR="00460FD0">
        <w:rPr>
          <w:rFonts w:ascii="Palatino Linotype" w:hAnsi="Palatino Linotype" w:cs="Times New Roman"/>
        </w:rPr>
        <w:t>er, t</w:t>
      </w:r>
      <w:r w:rsidR="00E46178" w:rsidRPr="00E46178">
        <w:rPr>
          <w:rFonts w:ascii="Palatino Linotype" w:hAnsi="Palatino Linotype" w:cs="Times New Roman"/>
        </w:rPr>
        <w:t>he comprehensive studies done on valuation in stat</w:t>
      </w:r>
      <w:r w:rsidR="001D39EA">
        <w:rPr>
          <w:rFonts w:ascii="Palatino Linotype" w:hAnsi="Palatino Linotype" w:cs="Times New Roman"/>
        </w:rPr>
        <w:t>istics</w:t>
      </w:r>
      <w:r w:rsidR="00E46178" w:rsidRPr="00E46178">
        <w:rPr>
          <w:rFonts w:ascii="Palatino Linotype" w:hAnsi="Palatino Linotype" w:cs="Times New Roman"/>
        </w:rPr>
        <w:t xml:space="preserve"> community find results in the order of 2 – 8 % of GDP</w:t>
      </w:r>
      <w:r w:rsidR="00DF1498">
        <w:rPr>
          <w:rFonts w:ascii="Palatino Linotype" w:hAnsi="Palatino Linotype" w:cs="Times New Roman"/>
        </w:rPr>
        <w:t>, which is</w:t>
      </w:r>
      <w:r w:rsidR="00E46178" w:rsidRPr="00E46178">
        <w:rPr>
          <w:rFonts w:ascii="Palatino Linotype" w:hAnsi="Palatino Linotype" w:cs="Times New Roman"/>
        </w:rPr>
        <w:t xml:space="preserve"> much lower than the results in Qinghai</w:t>
      </w:r>
      <w:r w:rsidR="00460FD0">
        <w:rPr>
          <w:rFonts w:ascii="Palatino Linotype" w:hAnsi="Palatino Linotype" w:cs="Times New Roman"/>
        </w:rPr>
        <w:t xml:space="preserve">). </w:t>
      </w:r>
      <w:r w:rsidR="00561D75">
        <w:rPr>
          <w:rFonts w:ascii="Palatino Linotype" w:hAnsi="Palatino Linotype" w:cs="Times New Roman"/>
        </w:rPr>
        <w:t>Please refer to the appendix of this document for the breakdowns of the value of ecosystem services from the above studies.</w:t>
      </w:r>
    </w:p>
    <w:p w14:paraId="7CF433A1" w14:textId="77777777" w:rsidR="00460FD0" w:rsidRPr="00460FD0" w:rsidRDefault="00460FD0" w:rsidP="00460FD0">
      <w:pPr>
        <w:pStyle w:val="ListParagraph"/>
        <w:spacing w:before="240" w:after="0" w:line="276" w:lineRule="auto"/>
        <w:ind w:left="360"/>
        <w:contextualSpacing w:val="0"/>
        <w:jc w:val="both"/>
        <w:rPr>
          <w:rFonts w:ascii="Palatino Linotype" w:hAnsi="Palatino Linotype" w:cs="Times New Roman"/>
        </w:rPr>
      </w:pPr>
    </w:p>
    <w:p w14:paraId="0198508D" w14:textId="77777777" w:rsidR="00DC62A4" w:rsidRDefault="00494541" w:rsidP="00141C3C">
      <w:pPr>
        <w:pStyle w:val="ListParagraph"/>
        <w:numPr>
          <w:ilvl w:val="0"/>
          <w:numId w:val="3"/>
        </w:numPr>
        <w:spacing w:before="240" w:line="276" w:lineRule="auto"/>
        <w:jc w:val="both"/>
      </w:pPr>
      <w:r>
        <w:t>Netherlands (2020 publication) 1.9% of GDP</w:t>
      </w:r>
    </w:p>
    <w:p w14:paraId="731865AE" w14:textId="0A9BC5AE" w:rsidR="00DC62A4" w:rsidRDefault="00494541" w:rsidP="00141C3C">
      <w:pPr>
        <w:pStyle w:val="ListParagraph"/>
        <w:spacing w:before="240" w:line="276" w:lineRule="auto"/>
        <w:jc w:val="both"/>
        <w:rPr>
          <w:rStyle w:val="Hyperlink"/>
          <w:i/>
          <w:iCs/>
        </w:rPr>
      </w:pPr>
      <w:r w:rsidRPr="007D6960">
        <w:rPr>
          <w:i/>
          <w:iCs/>
        </w:rPr>
        <w:t xml:space="preserve">Source: </w:t>
      </w:r>
      <w:hyperlink r:id="rId13" w:history="1">
        <w:r w:rsidRPr="007D6960">
          <w:rPr>
            <w:rStyle w:val="Hyperlink"/>
            <w:i/>
            <w:iCs/>
          </w:rPr>
          <w:t>https://www.cbs.nl/en-gb/background/2020/04/monetary-valuation-of-ecosystem-services-for-the-netherlands</w:t>
        </w:r>
      </w:hyperlink>
    </w:p>
    <w:p w14:paraId="14FB694C" w14:textId="77777777" w:rsidR="00141C3C" w:rsidRPr="007D6960" w:rsidRDefault="00141C3C" w:rsidP="00141C3C">
      <w:pPr>
        <w:pStyle w:val="ListParagraph"/>
        <w:spacing w:before="240" w:line="276" w:lineRule="auto"/>
        <w:jc w:val="both"/>
        <w:rPr>
          <w:i/>
          <w:iCs/>
        </w:rPr>
      </w:pPr>
    </w:p>
    <w:p w14:paraId="725D0A50" w14:textId="77777777" w:rsidR="00DC62A4" w:rsidRDefault="00494541" w:rsidP="00141C3C">
      <w:pPr>
        <w:pStyle w:val="ListParagraph"/>
        <w:numPr>
          <w:ilvl w:val="0"/>
          <w:numId w:val="3"/>
        </w:numPr>
        <w:spacing w:before="240" w:line="276" w:lineRule="auto"/>
        <w:jc w:val="both"/>
      </w:pPr>
      <w:r>
        <w:t xml:space="preserve">UK (2019 published figures):  0.9 % of GDP  </w:t>
      </w:r>
    </w:p>
    <w:p w14:paraId="4C8AA2DC" w14:textId="0C034E39" w:rsidR="00DC62A4" w:rsidRDefault="00494541" w:rsidP="00141C3C">
      <w:pPr>
        <w:pStyle w:val="ListParagraph"/>
        <w:spacing w:before="240" w:line="276" w:lineRule="auto"/>
        <w:jc w:val="both"/>
        <w:rPr>
          <w:rStyle w:val="Hyperlink"/>
          <w:i/>
          <w:iCs/>
        </w:rPr>
      </w:pPr>
      <w:r w:rsidRPr="007D6960">
        <w:rPr>
          <w:i/>
          <w:iCs/>
        </w:rPr>
        <w:t>Source:</w:t>
      </w:r>
      <w:hyperlink r:id="rId14" w:history="1">
        <w:r w:rsidR="00DC62A4" w:rsidRPr="007D6960">
          <w:rPr>
            <w:rStyle w:val="Hyperlink"/>
            <w:i/>
            <w:iCs/>
          </w:rPr>
          <w:t>https://www.ons.gov.uk/economy/environmentalaccounts/datasets/uknaturalcapitalaccountssupplementaryinformation</w:t>
        </w:r>
      </w:hyperlink>
    </w:p>
    <w:p w14:paraId="75DC8A5D" w14:textId="77777777" w:rsidR="00141C3C" w:rsidRPr="007D6960" w:rsidRDefault="00141C3C" w:rsidP="00141C3C">
      <w:pPr>
        <w:pStyle w:val="ListParagraph"/>
        <w:spacing w:before="240" w:line="276" w:lineRule="auto"/>
        <w:jc w:val="both"/>
        <w:rPr>
          <w:i/>
          <w:iCs/>
        </w:rPr>
      </w:pPr>
    </w:p>
    <w:p w14:paraId="01EE1017" w14:textId="5589E856" w:rsidR="00DC62A4" w:rsidRDefault="00494541" w:rsidP="00141C3C">
      <w:pPr>
        <w:pStyle w:val="ListParagraph"/>
        <w:numPr>
          <w:ilvl w:val="0"/>
          <w:numId w:val="3"/>
        </w:numPr>
        <w:spacing w:before="240" w:line="276" w:lineRule="auto"/>
        <w:jc w:val="both"/>
      </w:pPr>
      <w:r>
        <w:t>South Africa (2017 publication): 7% of GDP</w:t>
      </w:r>
    </w:p>
    <w:p w14:paraId="6F8378B8" w14:textId="1003F18D" w:rsidR="00661569" w:rsidRDefault="00494541" w:rsidP="002F5750">
      <w:pPr>
        <w:pStyle w:val="ListParagraph"/>
        <w:spacing w:before="240" w:line="276" w:lineRule="auto"/>
        <w:jc w:val="both"/>
        <w:rPr>
          <w:i/>
          <w:iCs/>
        </w:rPr>
      </w:pPr>
      <w:r w:rsidRPr="007D6960">
        <w:rPr>
          <w:i/>
          <w:iCs/>
        </w:rPr>
        <w:t>Source: Turpie et al. (2017): Mapping and valuation of South Africa's ecosystem services: A local perspective</w:t>
      </w:r>
    </w:p>
    <w:p w14:paraId="02567748" w14:textId="77777777" w:rsidR="002F5750" w:rsidRPr="002F5750" w:rsidRDefault="002F5750" w:rsidP="002F5750">
      <w:pPr>
        <w:pStyle w:val="ListParagraph"/>
        <w:spacing w:before="240" w:line="276" w:lineRule="auto"/>
        <w:jc w:val="both"/>
        <w:rPr>
          <w:i/>
          <w:iCs/>
        </w:rPr>
      </w:pPr>
    </w:p>
    <w:p w14:paraId="526ABEC6" w14:textId="23313321" w:rsidR="00646E5B" w:rsidRDefault="00EC73C0" w:rsidP="00DC3A01">
      <w:pPr>
        <w:pStyle w:val="ListParagraph"/>
        <w:numPr>
          <w:ilvl w:val="0"/>
          <w:numId w:val="1"/>
        </w:numPr>
        <w:spacing w:before="240" w:after="0" w:line="276" w:lineRule="auto"/>
        <w:contextualSpacing w:val="0"/>
        <w:jc w:val="both"/>
        <w:rPr>
          <w:rFonts w:ascii="Palatino Linotype" w:hAnsi="Palatino Linotype" w:cs="Times New Roman"/>
        </w:rPr>
      </w:pPr>
      <w:r w:rsidRPr="00891D52">
        <w:rPr>
          <w:rFonts w:ascii="Palatino Linotype" w:hAnsi="Palatino Linotype" w:cs="Times New Roman"/>
        </w:rPr>
        <w:t xml:space="preserve">The </w:t>
      </w:r>
      <w:r w:rsidR="00295E90" w:rsidRPr="00891D52">
        <w:rPr>
          <w:rFonts w:ascii="Palatino Linotype" w:hAnsi="Palatino Linotype" w:cs="Times New Roman"/>
        </w:rPr>
        <w:t>variation of the results</w:t>
      </w:r>
      <w:r w:rsidRPr="00891D52">
        <w:rPr>
          <w:rFonts w:ascii="Palatino Linotype" w:hAnsi="Palatino Linotype" w:cs="Times New Roman"/>
        </w:rPr>
        <w:t xml:space="preserve"> may point to difference in scope and measurement method</w:t>
      </w:r>
      <w:r w:rsidR="001D39EA" w:rsidRPr="00891D52">
        <w:rPr>
          <w:rFonts w:ascii="Palatino Linotype" w:hAnsi="Palatino Linotype" w:cs="Times New Roman"/>
        </w:rPr>
        <w:t>.</w:t>
      </w:r>
      <w:r w:rsidR="00945F49" w:rsidRPr="00891D52">
        <w:rPr>
          <w:rFonts w:ascii="Palatino Linotype" w:hAnsi="Palatino Linotype" w:cs="Times New Roman"/>
        </w:rPr>
        <w:t xml:space="preserve"> </w:t>
      </w:r>
      <w:r w:rsidR="008E27DC" w:rsidRPr="00561D75">
        <w:rPr>
          <w:rFonts w:ascii="Palatino Linotype" w:hAnsi="Palatino Linotype" w:cs="Times New Roman"/>
        </w:rPr>
        <w:t xml:space="preserve">It </w:t>
      </w:r>
      <w:r w:rsidR="006B4F8A" w:rsidRPr="00561D75">
        <w:rPr>
          <w:rFonts w:ascii="Palatino Linotype" w:hAnsi="Palatino Linotype" w:cs="Times New Roman"/>
        </w:rPr>
        <w:t>is</w:t>
      </w:r>
      <w:r w:rsidR="008E27DC" w:rsidRPr="00561D75">
        <w:rPr>
          <w:rFonts w:ascii="Palatino Linotype" w:hAnsi="Palatino Linotype" w:cs="Times New Roman"/>
        </w:rPr>
        <w:t xml:space="preserve"> su</w:t>
      </w:r>
      <w:r w:rsidR="00ED7450" w:rsidRPr="00561D75">
        <w:rPr>
          <w:rFonts w:ascii="Palatino Linotype" w:hAnsi="Palatino Linotype" w:cs="Times New Roman"/>
        </w:rPr>
        <w:t>ggested that the meeting could</w:t>
      </w:r>
      <w:r w:rsidR="00841263" w:rsidRPr="00561D75">
        <w:rPr>
          <w:rFonts w:ascii="Palatino Linotype" w:hAnsi="Palatino Linotype" w:cs="Times New Roman"/>
        </w:rPr>
        <w:t xml:space="preserve"> explore </w:t>
      </w:r>
      <w:r w:rsidR="00267ECC" w:rsidRPr="00561D75">
        <w:rPr>
          <w:rFonts w:ascii="Palatino Linotype" w:hAnsi="Palatino Linotype" w:cs="Times New Roman"/>
        </w:rPr>
        <w:t>the possible</w:t>
      </w:r>
      <w:r w:rsidR="00841263" w:rsidRPr="00561D75">
        <w:rPr>
          <w:rFonts w:ascii="Palatino Linotype" w:hAnsi="Palatino Linotype" w:cs="Times New Roman"/>
        </w:rPr>
        <w:t xml:space="preserve"> underlying</w:t>
      </w:r>
      <w:r w:rsidR="00267ECC" w:rsidRPr="00561D75">
        <w:rPr>
          <w:rFonts w:ascii="Palatino Linotype" w:hAnsi="Palatino Linotype" w:cs="Times New Roman"/>
        </w:rPr>
        <w:t xml:space="preserve"> cause</w:t>
      </w:r>
      <w:r w:rsidR="00841263" w:rsidRPr="00561D75">
        <w:rPr>
          <w:rFonts w:ascii="Palatino Linotype" w:hAnsi="Palatino Linotype" w:cs="Times New Roman"/>
        </w:rPr>
        <w:t>s</w:t>
      </w:r>
      <w:r w:rsidR="00267ECC" w:rsidRPr="00561D75">
        <w:rPr>
          <w:rFonts w:ascii="Palatino Linotype" w:hAnsi="Palatino Linotype" w:cs="Times New Roman"/>
        </w:rPr>
        <w:t xml:space="preserve"> of</w:t>
      </w:r>
      <w:r w:rsidR="00841263" w:rsidRPr="00561D75">
        <w:rPr>
          <w:rFonts w:ascii="Palatino Linotype" w:hAnsi="Palatino Linotype" w:cs="Times New Roman"/>
        </w:rPr>
        <w:t xml:space="preserve"> the </w:t>
      </w:r>
      <w:r w:rsidR="006B4F8A" w:rsidRPr="00561D75">
        <w:rPr>
          <w:rFonts w:ascii="Palatino Linotype" w:hAnsi="Palatino Linotype" w:cs="Times New Roman"/>
        </w:rPr>
        <w:t>difference</w:t>
      </w:r>
      <w:r w:rsidR="00DF1498" w:rsidRPr="00561D75">
        <w:rPr>
          <w:rFonts w:ascii="Palatino Linotype" w:hAnsi="Palatino Linotype" w:cs="Times New Roman"/>
        </w:rPr>
        <w:t xml:space="preserve"> of results </w:t>
      </w:r>
      <w:r w:rsidR="006B4F8A" w:rsidRPr="00561D75">
        <w:rPr>
          <w:rFonts w:ascii="Palatino Linotype" w:hAnsi="Palatino Linotype" w:cs="Times New Roman"/>
        </w:rPr>
        <w:t>among</w:t>
      </w:r>
      <w:r w:rsidR="00DF1498" w:rsidRPr="00561D75">
        <w:rPr>
          <w:rFonts w:ascii="Palatino Linotype" w:hAnsi="Palatino Linotype" w:cs="Times New Roman"/>
        </w:rPr>
        <w:t xml:space="preserve"> various studies. </w:t>
      </w:r>
    </w:p>
    <w:p w14:paraId="318341F8" w14:textId="77777777" w:rsidR="002F5750" w:rsidRPr="002F5750" w:rsidRDefault="002F5750" w:rsidP="002F5750">
      <w:pPr>
        <w:pStyle w:val="ListParagraph"/>
        <w:spacing w:before="240" w:after="0" w:line="276" w:lineRule="auto"/>
        <w:ind w:left="360"/>
        <w:contextualSpacing w:val="0"/>
        <w:jc w:val="both"/>
        <w:rPr>
          <w:rFonts w:ascii="Palatino Linotype" w:hAnsi="Palatino Linotype" w:cs="Times New Roman"/>
        </w:rPr>
      </w:pPr>
    </w:p>
    <w:p w14:paraId="2206F7B4" w14:textId="77777777" w:rsidR="00555F6F" w:rsidRDefault="00555F6F">
      <w:pPr>
        <w:rPr>
          <w:rFonts w:ascii="Palatino Linotype" w:eastAsia="MS Mincho" w:hAnsi="Palatino Linotype" w:cs="Times New Roman"/>
          <w:color w:val="2F7BB4"/>
          <w:sz w:val="28"/>
          <w:szCs w:val="28"/>
          <w:u w:val="single"/>
        </w:rPr>
      </w:pPr>
      <w:r>
        <w:rPr>
          <w:rFonts w:ascii="Palatino Linotype" w:hAnsi="Palatino Linotype"/>
          <w:u w:val="single"/>
        </w:rPr>
        <w:br w:type="page"/>
      </w:r>
    </w:p>
    <w:p w14:paraId="0003CEA7" w14:textId="2F4C6D39" w:rsidR="00ED7450" w:rsidRPr="00260188" w:rsidRDefault="00ED7450" w:rsidP="00486333">
      <w:pPr>
        <w:pStyle w:val="FranklinHeader"/>
        <w:jc w:val="center"/>
        <w:rPr>
          <w:rFonts w:ascii="Palatino Linotype" w:hAnsi="Palatino Linotype"/>
          <w:u w:val="single"/>
        </w:rPr>
      </w:pPr>
      <w:r w:rsidRPr="00260188">
        <w:rPr>
          <w:rFonts w:ascii="Palatino Linotype" w:hAnsi="Palatino Linotype"/>
          <w:u w:val="single"/>
        </w:rPr>
        <w:lastRenderedPageBreak/>
        <w:t>Discussion on concept and measurement approach of selected ecosystem services</w:t>
      </w:r>
    </w:p>
    <w:p w14:paraId="5A5EE866" w14:textId="77777777" w:rsidR="00E509EA" w:rsidRDefault="00E509EA" w:rsidP="00727F59">
      <w:pPr>
        <w:pStyle w:val="ListParagraph"/>
        <w:autoSpaceDE w:val="0"/>
        <w:autoSpaceDN w:val="0"/>
        <w:adjustRightInd w:val="0"/>
        <w:spacing w:line="276" w:lineRule="auto"/>
        <w:jc w:val="both"/>
        <w:rPr>
          <w:rFonts w:ascii="Palatino Linotype" w:hAnsi="Palatino Linotype"/>
        </w:rPr>
      </w:pPr>
    </w:p>
    <w:p w14:paraId="510968C2" w14:textId="777B9E83" w:rsidR="007D3DB0" w:rsidRPr="009E26F5" w:rsidRDefault="00D473C5" w:rsidP="009E26F5">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During the last meeting</w:t>
      </w:r>
      <w:r w:rsidR="00EF54FD">
        <w:rPr>
          <w:rFonts w:ascii="Palatino Linotype" w:hAnsi="Palatino Linotype" w:cs="Times New Roman"/>
        </w:rPr>
        <w:t xml:space="preserve">, the following observations were raised on whether the measurement approach on each ecosystem services are aligned between GEP and SEEA.  </w:t>
      </w:r>
    </w:p>
    <w:p w14:paraId="61819124" w14:textId="6816AC0C" w:rsidR="008F61C5" w:rsidRPr="008F61C5" w:rsidRDefault="008F61C5" w:rsidP="008F61C5">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cs="Times New Roman"/>
        </w:rPr>
        <w:t>Water yield – not aligned (difference in scope and treatment)</w:t>
      </w:r>
    </w:p>
    <w:p w14:paraId="0C5095C7" w14:textId="729BE3DD" w:rsidR="00D473C5" w:rsidRPr="00D473C5" w:rsidRDefault="00D473C5" w:rsidP="008F61C5">
      <w:pPr>
        <w:pStyle w:val="ListParagraph"/>
        <w:numPr>
          <w:ilvl w:val="1"/>
          <w:numId w:val="1"/>
        </w:numPr>
        <w:spacing w:after="0" w:line="276" w:lineRule="auto"/>
        <w:contextualSpacing w:val="0"/>
        <w:jc w:val="both"/>
        <w:rPr>
          <w:rFonts w:ascii="Palatino Linotype" w:hAnsi="Palatino Linotype" w:cs="Times New Roman"/>
        </w:rPr>
      </w:pPr>
      <w:r w:rsidRPr="00D473C5">
        <w:rPr>
          <w:rFonts w:ascii="Palatino Linotype" w:hAnsi="Palatino Linotype"/>
        </w:rPr>
        <w:t>Soil retention; grossly aligned, no use of counterfactual (absence of vegetation)</w:t>
      </w:r>
    </w:p>
    <w:p w14:paraId="755C6B58" w14:textId="77777777" w:rsidR="00D473C5" w:rsidRPr="00D473C5" w:rsidRDefault="00D473C5" w:rsidP="008F61C5">
      <w:pPr>
        <w:pStyle w:val="ListParagraph"/>
        <w:numPr>
          <w:ilvl w:val="1"/>
          <w:numId w:val="1"/>
        </w:numPr>
        <w:spacing w:after="0" w:line="276" w:lineRule="auto"/>
        <w:contextualSpacing w:val="0"/>
        <w:jc w:val="both"/>
        <w:rPr>
          <w:rFonts w:ascii="Palatino Linotype" w:hAnsi="Palatino Linotype" w:cs="Times New Roman"/>
        </w:rPr>
      </w:pPr>
      <w:r w:rsidRPr="00D473C5">
        <w:rPr>
          <w:rFonts w:ascii="Palatino Linotype" w:hAnsi="Palatino Linotype"/>
        </w:rPr>
        <w:t>Sandstorm prevention – aligned, model includes location of beneficiaries – but high value is surprising</w:t>
      </w:r>
    </w:p>
    <w:p w14:paraId="7486A917" w14:textId="6193F12C" w:rsidR="00D473C5" w:rsidRPr="00D473C5" w:rsidRDefault="00D473C5" w:rsidP="007D3DB0">
      <w:pPr>
        <w:pStyle w:val="ListParagraph"/>
        <w:numPr>
          <w:ilvl w:val="1"/>
          <w:numId w:val="1"/>
        </w:numPr>
        <w:spacing w:after="0" w:line="276" w:lineRule="auto"/>
        <w:contextualSpacing w:val="0"/>
        <w:jc w:val="both"/>
        <w:rPr>
          <w:rFonts w:ascii="Palatino Linotype" w:hAnsi="Palatino Linotype" w:cs="Times New Roman"/>
        </w:rPr>
      </w:pPr>
      <w:r w:rsidRPr="00D473C5">
        <w:rPr>
          <w:rFonts w:ascii="Palatino Linotype" w:hAnsi="Palatino Linotype"/>
        </w:rPr>
        <w:t xml:space="preserve">Flood mitigation – </w:t>
      </w:r>
      <w:r w:rsidR="00FD0816">
        <w:rPr>
          <w:rFonts w:ascii="Palatino Linotype" w:hAnsi="Palatino Linotype"/>
        </w:rPr>
        <w:t>C</w:t>
      </w:r>
      <w:r w:rsidRPr="00D473C5">
        <w:rPr>
          <w:rFonts w:ascii="Palatino Linotype" w:hAnsi="Palatino Linotype"/>
        </w:rPr>
        <w:t>ould not follow how storage (a stock variable) is linked to (avoided) damages (flow variable)</w:t>
      </w:r>
    </w:p>
    <w:p w14:paraId="621D8225" w14:textId="77777777" w:rsidR="00D473C5" w:rsidRPr="00D473C5" w:rsidRDefault="00D473C5" w:rsidP="007D3DB0">
      <w:pPr>
        <w:pStyle w:val="ListParagraph"/>
        <w:numPr>
          <w:ilvl w:val="1"/>
          <w:numId w:val="1"/>
        </w:numPr>
        <w:spacing w:after="0" w:line="276" w:lineRule="auto"/>
        <w:contextualSpacing w:val="0"/>
        <w:jc w:val="both"/>
        <w:rPr>
          <w:rFonts w:ascii="Palatino Linotype" w:hAnsi="Palatino Linotype" w:cs="Times New Roman"/>
        </w:rPr>
      </w:pPr>
      <w:r w:rsidRPr="00D473C5">
        <w:rPr>
          <w:rFonts w:ascii="Palatino Linotype" w:hAnsi="Palatino Linotype"/>
        </w:rPr>
        <w:t>Air purification – partly aligned: the model does not have a link to the population / beneficiaries, assumes all filtered air is used</w:t>
      </w:r>
    </w:p>
    <w:p w14:paraId="52C95969" w14:textId="77777777" w:rsidR="00D473C5" w:rsidRPr="00D473C5" w:rsidRDefault="00D473C5" w:rsidP="007D3DB0">
      <w:pPr>
        <w:pStyle w:val="ListParagraph"/>
        <w:numPr>
          <w:ilvl w:val="1"/>
          <w:numId w:val="1"/>
        </w:numPr>
        <w:spacing w:after="0" w:line="276" w:lineRule="auto"/>
        <w:contextualSpacing w:val="0"/>
        <w:jc w:val="both"/>
        <w:rPr>
          <w:rFonts w:ascii="Palatino Linotype" w:hAnsi="Palatino Linotype" w:cs="Times New Roman"/>
        </w:rPr>
      </w:pPr>
      <w:r w:rsidRPr="00D473C5">
        <w:rPr>
          <w:rFonts w:ascii="Palatino Linotype" w:hAnsi="Palatino Linotype"/>
        </w:rPr>
        <w:t>Water purification – aligned (would be interested to learn more how the coefficients were estimated)</w:t>
      </w:r>
    </w:p>
    <w:p w14:paraId="3E0943A8" w14:textId="77777777" w:rsidR="00D473C5" w:rsidRPr="00D473C5" w:rsidRDefault="00D473C5" w:rsidP="007D3DB0">
      <w:pPr>
        <w:pStyle w:val="ListParagraph"/>
        <w:numPr>
          <w:ilvl w:val="1"/>
          <w:numId w:val="1"/>
        </w:numPr>
        <w:spacing w:after="0" w:line="276" w:lineRule="auto"/>
        <w:contextualSpacing w:val="0"/>
        <w:jc w:val="both"/>
        <w:rPr>
          <w:rFonts w:ascii="Palatino Linotype" w:hAnsi="Palatino Linotype" w:cs="Times New Roman"/>
        </w:rPr>
      </w:pPr>
      <w:r w:rsidRPr="00D473C5">
        <w:rPr>
          <w:rFonts w:ascii="Palatino Linotype" w:hAnsi="Palatino Linotype"/>
        </w:rPr>
        <w:t>Carbon sequestration – more or less aligned</w:t>
      </w:r>
    </w:p>
    <w:p w14:paraId="063F8A74" w14:textId="414BD017" w:rsidR="00D473C5" w:rsidRPr="008F61C5" w:rsidRDefault="00FF0076" w:rsidP="007D3DB0">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rPr>
        <w:t>Eco-tourism</w:t>
      </w:r>
      <w:r w:rsidR="00D473C5" w:rsidRPr="00D473C5">
        <w:rPr>
          <w:rFonts w:ascii="Palatino Linotype" w:hAnsi="Palatino Linotype"/>
        </w:rPr>
        <w:t xml:space="preserve">– TCM – aligned, minor issue is whether to use also time spent in visit </w:t>
      </w:r>
    </w:p>
    <w:p w14:paraId="20702291" w14:textId="1765B812" w:rsidR="009E26F5" w:rsidRDefault="009E26F5" w:rsidP="009E26F5">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 xml:space="preserve">It is suggested that the meeting could discuss in greater details on the each of the following services, in order to compare the concept and measurement approach used in GEP and SEEA, and to address the issue on alignment </w:t>
      </w:r>
    </w:p>
    <w:p w14:paraId="08EAD92A" w14:textId="77777777" w:rsidR="009E26F5" w:rsidRPr="00FE3422" w:rsidRDefault="009E26F5" w:rsidP="009E26F5">
      <w:pPr>
        <w:pStyle w:val="ListParagraph"/>
        <w:numPr>
          <w:ilvl w:val="1"/>
          <w:numId w:val="1"/>
        </w:numPr>
        <w:spacing w:after="0" w:line="276" w:lineRule="auto"/>
        <w:contextualSpacing w:val="0"/>
        <w:jc w:val="both"/>
        <w:rPr>
          <w:rFonts w:ascii="Palatino Linotype" w:hAnsi="Palatino Linotype" w:cs="Times New Roman"/>
        </w:rPr>
      </w:pPr>
      <w:r w:rsidRPr="00FE3422">
        <w:rPr>
          <w:rFonts w:ascii="Palatino Linotype" w:hAnsi="Palatino Linotype"/>
        </w:rPr>
        <w:t>Material/provisioning services</w:t>
      </w:r>
    </w:p>
    <w:p w14:paraId="3499D47C"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Production of ecosystem goods (e.g. cultivated crops)</w:t>
      </w:r>
    </w:p>
    <w:p w14:paraId="0C7963AE"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 xml:space="preserve">Water supply, hydropower and renewable energy </w:t>
      </w:r>
    </w:p>
    <w:p w14:paraId="27F1BA64" w14:textId="77777777" w:rsidR="009E26F5" w:rsidRPr="00FE3422" w:rsidRDefault="009E26F5" w:rsidP="009E26F5">
      <w:pPr>
        <w:pStyle w:val="ListParagraph"/>
        <w:numPr>
          <w:ilvl w:val="1"/>
          <w:numId w:val="1"/>
        </w:numPr>
        <w:spacing w:after="0" w:line="276" w:lineRule="auto"/>
        <w:contextualSpacing w:val="0"/>
        <w:jc w:val="both"/>
        <w:rPr>
          <w:rFonts w:ascii="Palatino Linotype" w:hAnsi="Palatino Linotype" w:cs="Times New Roman"/>
        </w:rPr>
      </w:pPr>
      <w:r w:rsidRPr="00FE3422">
        <w:rPr>
          <w:rFonts w:ascii="Palatino Linotype" w:hAnsi="Palatino Linotype"/>
        </w:rPr>
        <w:t>Non-material/ cultural services</w:t>
      </w:r>
    </w:p>
    <w:p w14:paraId="7F88604C"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Eco-tourism</w:t>
      </w:r>
    </w:p>
    <w:p w14:paraId="2DE338E0" w14:textId="77777777" w:rsidR="009E26F5" w:rsidRPr="00FE3422" w:rsidRDefault="009E26F5" w:rsidP="009E26F5">
      <w:pPr>
        <w:pStyle w:val="ListParagraph"/>
        <w:numPr>
          <w:ilvl w:val="1"/>
          <w:numId w:val="1"/>
        </w:numPr>
        <w:spacing w:after="0" w:line="276" w:lineRule="auto"/>
        <w:contextualSpacing w:val="0"/>
        <w:jc w:val="both"/>
        <w:rPr>
          <w:rFonts w:ascii="Palatino Linotype" w:hAnsi="Palatino Linotype" w:cs="Times New Roman"/>
        </w:rPr>
      </w:pPr>
      <w:r w:rsidRPr="00FE3422">
        <w:rPr>
          <w:rFonts w:ascii="Palatino Linotype" w:hAnsi="Palatino Linotype"/>
        </w:rPr>
        <w:t>Regulating services</w:t>
      </w:r>
    </w:p>
    <w:p w14:paraId="0109A732"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Flood mitigation</w:t>
      </w:r>
    </w:p>
    <w:p w14:paraId="6A5FD705"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Soil retention and non-point pollution prevention</w:t>
      </w:r>
    </w:p>
    <w:p w14:paraId="79C8BAF3"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Water purification</w:t>
      </w:r>
    </w:p>
    <w:p w14:paraId="24B8E34E"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Air purification</w:t>
      </w:r>
    </w:p>
    <w:p w14:paraId="63F4F7E2" w14:textId="77777777" w:rsidR="009E26F5" w:rsidRPr="00FE3422"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Sandstorm prevention</w:t>
      </w:r>
    </w:p>
    <w:p w14:paraId="6A7187B5" w14:textId="00597F9F" w:rsidR="009E26F5" w:rsidRPr="00555F6F" w:rsidRDefault="009E26F5" w:rsidP="009E26F5">
      <w:pPr>
        <w:pStyle w:val="ListParagraph"/>
        <w:numPr>
          <w:ilvl w:val="2"/>
          <w:numId w:val="1"/>
        </w:numPr>
        <w:spacing w:after="0" w:line="276" w:lineRule="auto"/>
        <w:contextualSpacing w:val="0"/>
        <w:jc w:val="both"/>
        <w:rPr>
          <w:rFonts w:ascii="Palatino Linotype" w:hAnsi="Palatino Linotype" w:cs="Times New Roman"/>
        </w:rPr>
      </w:pPr>
      <w:r w:rsidRPr="00FE3422">
        <w:rPr>
          <w:rFonts w:ascii="Palatino Linotype" w:hAnsi="Palatino Linotype"/>
        </w:rPr>
        <w:t>Carbon sequestration</w:t>
      </w:r>
    </w:p>
    <w:p w14:paraId="0481B854" w14:textId="289116CC" w:rsidR="00555F6F" w:rsidRDefault="00555F6F" w:rsidP="00555F6F">
      <w:pPr>
        <w:spacing w:after="0" w:line="276" w:lineRule="auto"/>
        <w:jc w:val="both"/>
        <w:rPr>
          <w:rFonts w:ascii="Palatino Linotype" w:hAnsi="Palatino Linotype" w:cs="Times New Roman"/>
        </w:rPr>
      </w:pPr>
    </w:p>
    <w:p w14:paraId="612454AB" w14:textId="49D105AD" w:rsidR="00555F6F" w:rsidRDefault="00555F6F" w:rsidP="00555F6F">
      <w:pPr>
        <w:spacing w:after="0" w:line="276" w:lineRule="auto"/>
        <w:jc w:val="both"/>
        <w:rPr>
          <w:rFonts w:ascii="Palatino Linotype" w:hAnsi="Palatino Linotype" w:cs="Times New Roman"/>
        </w:rPr>
      </w:pPr>
    </w:p>
    <w:p w14:paraId="72D3AAB7" w14:textId="77777777" w:rsidR="00555F6F" w:rsidRPr="00555F6F" w:rsidRDefault="00555F6F" w:rsidP="00555F6F">
      <w:pPr>
        <w:spacing w:after="0" w:line="276" w:lineRule="auto"/>
        <w:jc w:val="both"/>
        <w:rPr>
          <w:rFonts w:ascii="Palatino Linotype" w:hAnsi="Palatino Linotype" w:cs="Times New Roman"/>
        </w:rPr>
      </w:pPr>
    </w:p>
    <w:p w14:paraId="781495E8" w14:textId="0C85593A" w:rsidR="00816056" w:rsidRDefault="00816056" w:rsidP="008F61C5">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lastRenderedPageBreak/>
        <w:t xml:space="preserve">Please refer to </w:t>
      </w:r>
      <w:r w:rsidR="00B74615">
        <w:rPr>
          <w:rFonts w:ascii="Palatino Linotype" w:hAnsi="Palatino Linotype" w:cs="Times New Roman"/>
        </w:rPr>
        <w:t xml:space="preserve">the following document for the </w:t>
      </w:r>
      <w:r w:rsidR="00B532D7">
        <w:rPr>
          <w:rFonts w:ascii="Palatino Linotype" w:hAnsi="Palatino Linotype" w:cs="Times New Roman"/>
        </w:rPr>
        <w:t xml:space="preserve">definition and scope of selected ecosystem services in the GEP and SEEA framework. </w:t>
      </w:r>
    </w:p>
    <w:p w14:paraId="279C3722" w14:textId="77777777" w:rsidR="00B74615" w:rsidRDefault="009B5C21" w:rsidP="009B5C21">
      <w:pPr>
        <w:spacing w:before="240" w:after="0" w:line="276" w:lineRule="auto"/>
        <w:jc w:val="both"/>
        <w:rPr>
          <w:rFonts w:ascii="Palatino Linotype" w:hAnsi="Palatino Linotype" w:cs="Times New Roman"/>
        </w:rPr>
      </w:pPr>
      <w:r w:rsidRPr="00555F6F">
        <w:rPr>
          <w:rFonts w:ascii="Palatino Linotype" w:hAnsi="Palatino Linotype" w:cs="Times New Roman"/>
        </w:rPr>
        <w:t>GEP</w:t>
      </w:r>
      <w:r w:rsidR="00555F6F">
        <w:rPr>
          <w:rFonts w:ascii="Palatino Linotype" w:hAnsi="Palatino Linotype" w:cs="Times New Roman"/>
        </w:rPr>
        <w:t xml:space="preserve">: </w:t>
      </w:r>
    </w:p>
    <w:p w14:paraId="33BE8A27" w14:textId="3AB41B1E" w:rsidR="009B5C21" w:rsidRPr="00555F6F" w:rsidRDefault="00785281" w:rsidP="009B5C21">
      <w:pPr>
        <w:spacing w:before="240" w:after="0" w:line="276" w:lineRule="auto"/>
        <w:jc w:val="both"/>
        <w:rPr>
          <w:rFonts w:ascii="Palatino Linotype" w:hAnsi="Palatino Linotype" w:cs="Times New Roman"/>
        </w:rPr>
      </w:pPr>
      <w:hyperlink r:id="rId15" w:history="1">
        <w:r w:rsidR="00B74615" w:rsidRPr="00DB4874">
          <w:rPr>
            <w:rStyle w:val="Hyperlink"/>
          </w:rPr>
          <w:t>https://seea.un.org/sites/seea.un.org/files/gep-_qinghai_case_pnas_final_submission_20200117_1.pdf</w:t>
        </w:r>
      </w:hyperlink>
    </w:p>
    <w:p w14:paraId="7CA6939D" w14:textId="673FB311" w:rsidR="00816056" w:rsidRPr="009B5C21" w:rsidRDefault="00816056" w:rsidP="009B5C21">
      <w:pPr>
        <w:spacing w:before="240" w:after="0" w:line="276" w:lineRule="auto"/>
        <w:jc w:val="both"/>
        <w:rPr>
          <w:rFonts w:ascii="Palatino Linotype" w:hAnsi="Palatino Linotype" w:cs="Times New Roman"/>
        </w:rPr>
      </w:pPr>
      <w:r w:rsidRPr="009B5C21">
        <w:rPr>
          <w:rFonts w:ascii="Palatino Linotype" w:hAnsi="Palatino Linotype" w:cs="Times New Roman"/>
        </w:rPr>
        <w:t>SEEA:</w:t>
      </w:r>
      <w:r w:rsidR="00555F6F">
        <w:rPr>
          <w:rFonts w:ascii="Palatino Linotype" w:hAnsi="Palatino Linotype" w:cs="Times New Roman"/>
        </w:rPr>
        <w:t xml:space="preserve"> </w:t>
      </w:r>
      <w:hyperlink r:id="rId16" w:history="1">
        <w:r w:rsidR="00555F6F" w:rsidRPr="00DB4874">
          <w:rPr>
            <w:rStyle w:val="Hyperlink"/>
          </w:rPr>
          <w:t>https://seea.un.org/sites/seea.un.org/files/documents/EEA/seea_eea_dp3.2_es_treatments_feb2020.pdf</w:t>
        </w:r>
      </w:hyperlink>
    </w:p>
    <w:p w14:paraId="35D16727" w14:textId="34533B3E" w:rsidR="008F61C5" w:rsidRDefault="008F61C5" w:rsidP="008F61C5">
      <w:pPr>
        <w:pStyle w:val="ListParagraph"/>
        <w:numPr>
          <w:ilvl w:val="0"/>
          <w:numId w:val="1"/>
        </w:numPr>
        <w:spacing w:before="240" w:after="0" w:line="276" w:lineRule="auto"/>
        <w:contextualSpacing w:val="0"/>
        <w:jc w:val="both"/>
        <w:rPr>
          <w:rFonts w:ascii="Palatino Linotype" w:hAnsi="Palatino Linotype" w:cs="Times New Roman"/>
        </w:rPr>
      </w:pPr>
      <w:r>
        <w:rPr>
          <w:rFonts w:ascii="Palatino Linotype" w:hAnsi="Palatino Linotype" w:cs="Times New Roman"/>
        </w:rPr>
        <w:t>The a</w:t>
      </w:r>
      <w:r w:rsidRPr="00A53C2C">
        <w:rPr>
          <w:rFonts w:ascii="Palatino Linotype" w:hAnsi="Palatino Linotype" w:cs="Times New Roman"/>
        </w:rPr>
        <w:t xml:space="preserve">ccounting item </w:t>
      </w:r>
      <w:r>
        <w:rPr>
          <w:rFonts w:ascii="Palatino Linotype" w:hAnsi="Palatino Linotype" w:cs="Times New Roman"/>
        </w:rPr>
        <w:t xml:space="preserve">of water supply </w:t>
      </w:r>
      <w:r w:rsidRPr="00A53C2C">
        <w:rPr>
          <w:rFonts w:ascii="Palatino Linotype" w:hAnsi="Palatino Linotype" w:cs="Times New Roman"/>
        </w:rPr>
        <w:t>in GEP</w:t>
      </w:r>
      <w:r>
        <w:rPr>
          <w:rFonts w:ascii="Palatino Linotype" w:hAnsi="Palatino Linotype" w:cs="Times New Roman"/>
        </w:rPr>
        <w:t xml:space="preserve"> cover</w:t>
      </w:r>
      <w:r w:rsidR="00A45A5A">
        <w:rPr>
          <w:rFonts w:ascii="Palatino Linotype" w:hAnsi="Palatino Linotype" w:cs="Times New Roman"/>
        </w:rPr>
        <w:t>s</w:t>
      </w:r>
      <w:r>
        <w:rPr>
          <w:rFonts w:ascii="Palatino Linotype" w:hAnsi="Palatino Linotype" w:cs="Times New Roman"/>
        </w:rPr>
        <w:t xml:space="preserve"> the w</w:t>
      </w:r>
      <w:r w:rsidRPr="00972B70">
        <w:rPr>
          <w:rFonts w:ascii="Palatino Linotype" w:hAnsi="Palatino Linotype" w:cs="Times New Roman"/>
        </w:rPr>
        <w:t>ater use in downstream agricultural irrigation</w:t>
      </w:r>
      <w:r>
        <w:rPr>
          <w:rFonts w:ascii="Palatino Linotype" w:hAnsi="Palatino Linotype" w:cs="Times New Roman"/>
        </w:rPr>
        <w:t>,</w:t>
      </w:r>
      <w:r w:rsidRPr="00972B70">
        <w:rPr>
          <w:rFonts w:ascii="Palatino Linotype" w:hAnsi="Palatino Linotype" w:cs="Times New Roman"/>
        </w:rPr>
        <w:t xml:space="preserve"> households</w:t>
      </w:r>
      <w:r>
        <w:rPr>
          <w:rFonts w:ascii="Palatino Linotype" w:hAnsi="Palatino Linotype" w:cs="Times New Roman"/>
        </w:rPr>
        <w:t xml:space="preserve"> and </w:t>
      </w:r>
      <w:r w:rsidRPr="00972B70">
        <w:rPr>
          <w:rFonts w:ascii="Palatino Linotype" w:hAnsi="Palatino Linotype" w:cs="Times New Roman"/>
        </w:rPr>
        <w:t>industry</w:t>
      </w:r>
      <w:r>
        <w:rPr>
          <w:rFonts w:ascii="Palatino Linotype" w:hAnsi="Palatino Linotype" w:cs="Times New Roman"/>
        </w:rPr>
        <w:t xml:space="preserve"> as well as the hydropower production.</w:t>
      </w:r>
      <w:r w:rsidRPr="00972B70">
        <w:rPr>
          <w:rFonts w:ascii="Palatino Linotype" w:hAnsi="Palatino Linotype" w:cs="Times New Roman"/>
        </w:rPr>
        <w:t xml:space="preserve"> </w:t>
      </w:r>
      <w:r>
        <w:rPr>
          <w:rFonts w:ascii="Palatino Linotype" w:hAnsi="Palatino Linotype" w:cs="Times New Roman"/>
        </w:rPr>
        <w:t xml:space="preserve">It </w:t>
      </w:r>
      <w:r w:rsidR="00F61860">
        <w:rPr>
          <w:rFonts w:ascii="Palatino Linotype" w:hAnsi="Palatino Linotype" w:cs="Times New Roman"/>
        </w:rPr>
        <w:t>is</w:t>
      </w:r>
      <w:r>
        <w:rPr>
          <w:rFonts w:ascii="Palatino Linotype" w:hAnsi="Palatino Linotype" w:cs="Times New Roman"/>
        </w:rPr>
        <w:t xml:space="preserve"> suggested</w:t>
      </w:r>
      <w:r w:rsidR="00F61860">
        <w:rPr>
          <w:rFonts w:ascii="Palatino Linotype" w:hAnsi="Palatino Linotype" w:cs="Times New Roman"/>
        </w:rPr>
        <w:t xml:space="preserve"> that</w:t>
      </w:r>
      <w:r>
        <w:rPr>
          <w:rFonts w:ascii="Palatino Linotype" w:hAnsi="Palatino Linotype" w:cs="Times New Roman"/>
        </w:rPr>
        <w:t xml:space="preserve"> the meeting could further discuss t</w:t>
      </w:r>
      <w:r w:rsidRPr="00972B70">
        <w:rPr>
          <w:rFonts w:ascii="Palatino Linotype" w:hAnsi="Palatino Linotype" w:cs="Times New Roman"/>
        </w:rPr>
        <w:t>reatment for water use in downstream and treatment of hydropower product</w:t>
      </w:r>
      <w:r>
        <w:rPr>
          <w:rFonts w:ascii="Palatino Linotype" w:hAnsi="Palatino Linotype" w:cs="Times New Roman"/>
        </w:rPr>
        <w:t>ion</w:t>
      </w:r>
    </w:p>
    <w:p w14:paraId="3D6F1DFB" w14:textId="6EE979E4" w:rsidR="008F61C5" w:rsidRDefault="008F61C5" w:rsidP="008F61C5">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cs="Times New Roman"/>
        </w:rPr>
        <w:t>Water use in downstream: The issue concerns the location of beneficiary. If</w:t>
      </w:r>
      <w:r w:rsidR="00A45A5A">
        <w:rPr>
          <w:rFonts w:ascii="Palatino Linotype" w:hAnsi="Palatino Linotype" w:cs="Times New Roman"/>
        </w:rPr>
        <w:t xml:space="preserve"> the value associated with the downstream water use is accrue to the upstream province</w:t>
      </w:r>
      <w:r w:rsidR="007D3E8E">
        <w:rPr>
          <w:rFonts w:ascii="Palatino Linotype" w:hAnsi="Palatino Linotype" w:cs="Times New Roman"/>
        </w:rPr>
        <w:t xml:space="preserve"> GEP</w:t>
      </w:r>
      <w:r w:rsidR="00A45A5A">
        <w:rPr>
          <w:rFonts w:ascii="Palatino Linotype" w:hAnsi="Palatino Linotype" w:cs="Times New Roman"/>
        </w:rPr>
        <w:t>, will there be a corresponding decrease of the value</w:t>
      </w:r>
      <w:r w:rsidR="00501D8E">
        <w:rPr>
          <w:rFonts w:ascii="Palatino Linotype" w:hAnsi="Palatino Linotype" w:cs="Times New Roman"/>
        </w:rPr>
        <w:t xml:space="preserve"> of the downstream GEP</w:t>
      </w:r>
      <w:r w:rsidR="00A45A5A">
        <w:rPr>
          <w:rFonts w:ascii="Palatino Linotype" w:hAnsi="Palatino Linotype" w:cs="Times New Roman"/>
        </w:rPr>
        <w:t xml:space="preserve"> in order to avoid </w:t>
      </w:r>
      <w:r w:rsidR="00501D8E">
        <w:rPr>
          <w:rFonts w:ascii="Palatino Linotype" w:hAnsi="Palatino Linotype" w:cs="Times New Roman"/>
        </w:rPr>
        <w:t xml:space="preserve">the </w:t>
      </w:r>
      <w:r w:rsidR="00A45A5A">
        <w:rPr>
          <w:rFonts w:ascii="Palatino Linotype" w:hAnsi="Palatino Linotype" w:cs="Times New Roman"/>
        </w:rPr>
        <w:t>double counting</w:t>
      </w:r>
      <w:r w:rsidR="00501D8E">
        <w:rPr>
          <w:rFonts w:ascii="Palatino Linotype" w:hAnsi="Palatino Linotype" w:cs="Times New Roman"/>
        </w:rPr>
        <w:t>?</w:t>
      </w:r>
    </w:p>
    <w:p w14:paraId="6ADE05B7" w14:textId="0E0A2F0F" w:rsidR="008F61C5" w:rsidRDefault="008F61C5" w:rsidP="008F61C5">
      <w:pPr>
        <w:pStyle w:val="ListParagraph"/>
        <w:numPr>
          <w:ilvl w:val="1"/>
          <w:numId w:val="1"/>
        </w:numPr>
        <w:spacing w:after="0" w:line="276" w:lineRule="auto"/>
        <w:contextualSpacing w:val="0"/>
        <w:jc w:val="both"/>
        <w:rPr>
          <w:rFonts w:ascii="Palatino Linotype" w:hAnsi="Palatino Linotype" w:cs="Times New Roman"/>
        </w:rPr>
      </w:pPr>
      <w:r>
        <w:rPr>
          <w:rFonts w:ascii="Palatino Linotype" w:hAnsi="Palatino Linotype" w:cs="Times New Roman"/>
        </w:rPr>
        <w:t xml:space="preserve">Treatment of hydropower production: There is an ongoing discussion on whether hydropower production should be considered as ecosystem services or abiotic services. </w:t>
      </w:r>
    </w:p>
    <w:p w14:paraId="37BC1C41" w14:textId="77777777" w:rsidR="00B06107" w:rsidRPr="00972B70" w:rsidRDefault="00B06107" w:rsidP="00B06107">
      <w:pPr>
        <w:pStyle w:val="ListParagraph"/>
        <w:spacing w:after="0" w:line="276" w:lineRule="auto"/>
        <w:ind w:left="1080"/>
        <w:contextualSpacing w:val="0"/>
        <w:jc w:val="both"/>
        <w:rPr>
          <w:rFonts w:ascii="Palatino Linotype" w:hAnsi="Palatino Linotype" w:cs="Times New Roman"/>
        </w:rPr>
      </w:pPr>
    </w:p>
    <w:p w14:paraId="75BDCA63" w14:textId="0F28A66F" w:rsidR="007D3E8E" w:rsidRPr="00A74861" w:rsidRDefault="007D3E8E" w:rsidP="00A74861">
      <w:pPr>
        <w:pStyle w:val="ListParagraph"/>
        <w:numPr>
          <w:ilvl w:val="0"/>
          <w:numId w:val="1"/>
        </w:numPr>
        <w:spacing w:after="0" w:line="276" w:lineRule="auto"/>
        <w:contextualSpacing w:val="0"/>
        <w:jc w:val="both"/>
        <w:rPr>
          <w:rFonts w:ascii="Palatino Linotype" w:hAnsi="Palatino Linotype" w:cs="Times New Roman"/>
        </w:rPr>
      </w:pPr>
      <w:r w:rsidRPr="00A74861">
        <w:rPr>
          <w:rFonts w:ascii="Palatino Linotype" w:hAnsi="Palatino Linotype" w:cs="Times New Roman"/>
        </w:rPr>
        <w:t>As for the biomass provisioning (e.g. cultivated crops), the c</w:t>
      </w:r>
      <w:r w:rsidRPr="007D3E8E">
        <w:rPr>
          <w:rFonts w:ascii="Palatino Linotype" w:hAnsi="Palatino Linotype" w:cs="Times New Roman"/>
        </w:rPr>
        <w:t xml:space="preserve">urrent thinking in </w:t>
      </w:r>
      <w:r w:rsidR="00A74861" w:rsidRPr="00A74861">
        <w:rPr>
          <w:rFonts w:ascii="Palatino Linotype" w:hAnsi="Palatino Linotype" w:cs="Times New Roman"/>
        </w:rPr>
        <w:t xml:space="preserve">SEEA is to </w:t>
      </w:r>
      <w:r w:rsidRPr="007D3E8E">
        <w:rPr>
          <w:rFonts w:ascii="Palatino Linotype" w:hAnsi="Palatino Linotype" w:cs="Times New Roman"/>
        </w:rPr>
        <w:t>defin</w:t>
      </w:r>
      <w:r w:rsidR="00A74861" w:rsidRPr="00A74861">
        <w:rPr>
          <w:rFonts w:ascii="Palatino Linotype" w:hAnsi="Palatino Linotype" w:cs="Times New Roman"/>
        </w:rPr>
        <w:t xml:space="preserve">e </w:t>
      </w:r>
      <w:r w:rsidRPr="007D3E8E">
        <w:rPr>
          <w:rFonts w:ascii="Palatino Linotype" w:hAnsi="Palatino Linotype" w:cs="Times New Roman"/>
        </w:rPr>
        <w:t>biomass provisioning services</w:t>
      </w:r>
      <w:r w:rsidRPr="00A74861">
        <w:rPr>
          <w:rFonts w:ascii="Palatino Linotype" w:hAnsi="Palatino Linotype" w:cs="Times New Roman"/>
        </w:rPr>
        <w:t xml:space="preserve"> </w:t>
      </w:r>
      <w:r w:rsidR="00A74861" w:rsidRPr="00A74861">
        <w:rPr>
          <w:rFonts w:ascii="Palatino Linotype" w:hAnsi="Palatino Linotype" w:cs="Times New Roman"/>
        </w:rPr>
        <w:t xml:space="preserve">as </w:t>
      </w:r>
      <w:r w:rsidRPr="00A74861">
        <w:rPr>
          <w:rFonts w:ascii="Palatino Linotype" w:hAnsi="Palatino Linotype" w:cs="Times New Roman"/>
        </w:rPr>
        <w:t>the ecological contribution to the gross biomass harvested by economic units including households</w:t>
      </w:r>
      <w:r w:rsidR="00A74861">
        <w:rPr>
          <w:rFonts w:ascii="Palatino Linotype" w:hAnsi="Palatino Linotype" w:cs="Times New Roman"/>
        </w:rPr>
        <w:t xml:space="preserve">. </w:t>
      </w:r>
      <w:r w:rsidR="006761DB">
        <w:rPr>
          <w:rFonts w:ascii="Palatino Linotype" w:hAnsi="Palatino Linotype" w:cs="Times New Roman"/>
        </w:rPr>
        <w:t xml:space="preserve">It is suggested </w:t>
      </w:r>
      <w:r w:rsidR="004E5C16">
        <w:rPr>
          <w:rFonts w:ascii="Palatino Linotype" w:hAnsi="Palatino Linotype" w:cs="Times New Roman"/>
        </w:rPr>
        <w:t>to explore if</w:t>
      </w:r>
      <w:r w:rsidR="006761DB">
        <w:rPr>
          <w:rFonts w:ascii="Palatino Linotype" w:hAnsi="Palatino Linotype" w:cs="Times New Roman"/>
        </w:rPr>
        <w:t xml:space="preserve"> there is an attempt to measuring and valuing the ecological contribution as opposed to harvested product in GEP.</w:t>
      </w:r>
    </w:p>
    <w:p w14:paraId="49BCA305" w14:textId="77777777" w:rsidR="00260188" w:rsidRDefault="00260188">
      <w:pPr>
        <w:rPr>
          <w:rFonts w:ascii="Palatino Linotype" w:eastAsia="MS Mincho" w:hAnsi="Palatino Linotype" w:cs="Times New Roman"/>
          <w:color w:val="2F7BB4"/>
          <w:sz w:val="28"/>
          <w:szCs w:val="28"/>
          <w:u w:val="single"/>
          <w:lang w:val="en-GB"/>
        </w:rPr>
      </w:pPr>
      <w:r>
        <w:rPr>
          <w:rFonts w:ascii="Palatino Linotype" w:hAnsi="Palatino Linotype"/>
          <w:u w:val="single"/>
          <w:lang w:val="en-GB"/>
        </w:rPr>
        <w:br w:type="page"/>
      </w:r>
    </w:p>
    <w:p w14:paraId="6BA385E3" w14:textId="23608AE1" w:rsidR="00DC3A01" w:rsidRPr="0075750B" w:rsidRDefault="00DC3A01" w:rsidP="0075750B">
      <w:pPr>
        <w:pStyle w:val="FranklinHeader"/>
        <w:spacing w:before="240" w:after="240"/>
        <w:jc w:val="center"/>
        <w:rPr>
          <w:rFonts w:ascii="Palatino Linotype" w:hAnsi="Palatino Linotype"/>
          <w:u w:val="single"/>
          <w:lang w:val="en-GB"/>
        </w:rPr>
      </w:pPr>
      <w:r>
        <w:rPr>
          <w:rFonts w:ascii="Palatino Linotype" w:hAnsi="Palatino Linotype"/>
          <w:u w:val="single"/>
          <w:lang w:val="en-GB"/>
        </w:rPr>
        <w:lastRenderedPageBreak/>
        <w:t>Appendix: Results from Netherlands, UK and South Africa</w:t>
      </w:r>
    </w:p>
    <w:p w14:paraId="27F005FC" w14:textId="10454332" w:rsidR="00F53658" w:rsidRPr="00F53658" w:rsidRDefault="00F53658" w:rsidP="00494541">
      <w:pPr>
        <w:spacing w:before="240" w:after="0" w:line="276" w:lineRule="auto"/>
        <w:jc w:val="both"/>
        <w:rPr>
          <w:b/>
          <w:bCs/>
          <w:u w:val="single"/>
        </w:rPr>
      </w:pPr>
      <w:r w:rsidRPr="00F53658">
        <w:rPr>
          <w:b/>
          <w:bCs/>
          <w:u w:val="single"/>
        </w:rPr>
        <w:t>Netherlands</w:t>
      </w:r>
    </w:p>
    <w:p w14:paraId="55DEF5A8" w14:textId="4BB46548" w:rsidR="00F53658" w:rsidRPr="002A3302" w:rsidRDefault="00646E5B" w:rsidP="00F53658">
      <w:pPr>
        <w:spacing w:before="240" w:after="0" w:line="276" w:lineRule="auto"/>
        <w:jc w:val="both"/>
      </w:pPr>
      <w:r w:rsidRPr="00646E5B">
        <w:rPr>
          <w:noProof/>
        </w:rPr>
        <w:drawing>
          <wp:inline distT="0" distB="0" distL="0" distR="0" wp14:anchorId="16329BB4" wp14:editId="180A838D">
            <wp:extent cx="5751830" cy="419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1873" cy="4191031"/>
                    </a:xfrm>
                    <a:prstGeom prst="rect">
                      <a:avLst/>
                    </a:prstGeom>
                    <a:noFill/>
                    <a:ln>
                      <a:noFill/>
                    </a:ln>
                  </pic:spPr>
                </pic:pic>
              </a:graphicData>
            </a:graphic>
          </wp:inline>
        </w:drawing>
      </w:r>
    </w:p>
    <w:p w14:paraId="34C7694B" w14:textId="77777777" w:rsidR="0075750B" w:rsidRDefault="0075750B" w:rsidP="0075750B">
      <w:r>
        <w:t xml:space="preserve">Source: </w:t>
      </w:r>
      <w:hyperlink r:id="rId18" w:history="1">
        <w:r w:rsidRPr="00584777">
          <w:rPr>
            <w:rStyle w:val="Hyperlink"/>
          </w:rPr>
          <w:t>https://www.cbs.nl/en-gb/background/2020/04/monetary-valuation-of-ecosystem-services-for-the-netherlands</w:t>
        </w:r>
      </w:hyperlink>
    </w:p>
    <w:p w14:paraId="2D5EA805" w14:textId="77777777" w:rsidR="00260188" w:rsidRDefault="00260188">
      <w:r>
        <w:br w:type="page"/>
      </w:r>
    </w:p>
    <w:p w14:paraId="374EA2B2" w14:textId="7EC381FC" w:rsidR="0075750B" w:rsidRPr="0075750B" w:rsidRDefault="0075750B" w:rsidP="00494541">
      <w:pPr>
        <w:spacing w:before="240" w:after="0" w:line="276" w:lineRule="auto"/>
        <w:jc w:val="both"/>
        <w:rPr>
          <w:rFonts w:ascii="Palatino Linotype" w:hAnsi="Palatino Linotype" w:cs="Times New Roman"/>
          <w:u w:val="single"/>
        </w:rPr>
      </w:pPr>
      <w:r w:rsidRPr="0075750B">
        <w:rPr>
          <w:rFonts w:ascii="Palatino Linotype" w:hAnsi="Palatino Linotype" w:cs="Times New Roman"/>
          <w:u w:val="single"/>
        </w:rPr>
        <w:lastRenderedPageBreak/>
        <w:t>UK</w:t>
      </w:r>
    </w:p>
    <w:p w14:paraId="5C3A9FB0" w14:textId="77777777" w:rsidR="0075750B" w:rsidRDefault="0075750B"/>
    <w:p w14:paraId="0CF293FB" w14:textId="66656E05" w:rsidR="00C20D9C" w:rsidRDefault="00EB423C">
      <w:r w:rsidRPr="00EB423C">
        <w:rPr>
          <w:noProof/>
        </w:rPr>
        <w:drawing>
          <wp:inline distT="0" distB="0" distL="0" distR="0" wp14:anchorId="205CD101" wp14:editId="131EC77B">
            <wp:extent cx="4676775" cy="3695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3695700"/>
                    </a:xfrm>
                    <a:prstGeom prst="rect">
                      <a:avLst/>
                    </a:prstGeom>
                    <a:noFill/>
                    <a:ln>
                      <a:noFill/>
                    </a:ln>
                  </pic:spPr>
                </pic:pic>
              </a:graphicData>
            </a:graphic>
          </wp:inline>
        </w:drawing>
      </w:r>
    </w:p>
    <w:p w14:paraId="0747D8BA" w14:textId="77777777" w:rsidR="00E63C91" w:rsidRDefault="00E63C91">
      <w:pPr>
        <w:rPr>
          <w:noProof/>
        </w:rPr>
      </w:pPr>
    </w:p>
    <w:p w14:paraId="0684A757" w14:textId="77777777" w:rsidR="0075750B" w:rsidRDefault="0075750B" w:rsidP="0075750B">
      <w:r>
        <w:t xml:space="preserve">Source: </w:t>
      </w:r>
      <w:hyperlink r:id="rId20" w:history="1">
        <w:r w:rsidRPr="00584777">
          <w:rPr>
            <w:rStyle w:val="Hyperlink"/>
          </w:rPr>
          <w:t>https://www.ons.gov.uk/economy/environmentalaccounts/datasets/uknaturalcapitalaccountssupplementaryinformation</w:t>
        </w:r>
      </w:hyperlink>
    </w:p>
    <w:p w14:paraId="4F216B7A" w14:textId="77777777" w:rsidR="0075750B" w:rsidRDefault="0075750B">
      <w:pPr>
        <w:rPr>
          <w:noProof/>
        </w:rPr>
      </w:pPr>
      <w:r>
        <w:rPr>
          <w:noProof/>
        </w:rPr>
        <w:br w:type="page"/>
      </w:r>
    </w:p>
    <w:p w14:paraId="65D55BAE" w14:textId="580190EB" w:rsidR="00E63C91" w:rsidRPr="00BE0303" w:rsidRDefault="0075750B">
      <w:pPr>
        <w:rPr>
          <w:b/>
          <w:bCs/>
          <w:noProof/>
          <w:u w:val="single"/>
        </w:rPr>
      </w:pPr>
      <w:r w:rsidRPr="00BE0303">
        <w:rPr>
          <w:b/>
          <w:bCs/>
          <w:noProof/>
          <w:u w:val="single"/>
        </w:rPr>
        <w:lastRenderedPageBreak/>
        <w:t>South Africa</w:t>
      </w:r>
    </w:p>
    <w:p w14:paraId="65491D89" w14:textId="19BB82FF" w:rsidR="00C20D9C" w:rsidRDefault="005912E8">
      <w:r w:rsidRPr="005912E8">
        <w:rPr>
          <w:noProof/>
        </w:rPr>
        <w:drawing>
          <wp:inline distT="0" distB="0" distL="0" distR="0" wp14:anchorId="315CD04E" wp14:editId="55D6834C">
            <wp:extent cx="5638800" cy="5758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8204" cy="5767813"/>
                    </a:xfrm>
                    <a:prstGeom prst="rect">
                      <a:avLst/>
                    </a:prstGeom>
                    <a:noFill/>
                    <a:ln>
                      <a:noFill/>
                    </a:ln>
                  </pic:spPr>
                </pic:pic>
              </a:graphicData>
            </a:graphic>
          </wp:inline>
        </w:drawing>
      </w:r>
    </w:p>
    <w:p w14:paraId="209A7F8D" w14:textId="77777777" w:rsidR="0075750B" w:rsidRPr="000F1FF4" w:rsidRDefault="0075750B" w:rsidP="0075750B">
      <w:r>
        <w:t xml:space="preserve">Source: </w:t>
      </w:r>
      <w:r w:rsidRPr="000F1FF4">
        <w:rPr>
          <w:i/>
          <w:iCs/>
        </w:rPr>
        <w:t>Turpie et al. (2017): Mapping and valuation of South Africa's ecosystem services: A local perspective</w:t>
      </w:r>
    </w:p>
    <w:p w14:paraId="0246DF8A" w14:textId="77777777" w:rsidR="000F1FF4" w:rsidRDefault="000F1FF4" w:rsidP="00072A67"/>
    <w:p w14:paraId="7658E5C8" w14:textId="126B5AC9" w:rsidR="00213EBE" w:rsidRDefault="00213EBE"/>
    <w:sectPr w:rsidR="00213E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6B5C" w14:textId="77777777" w:rsidR="00785281" w:rsidRDefault="00785281" w:rsidP="00EF21F6">
      <w:pPr>
        <w:spacing w:after="0" w:line="240" w:lineRule="auto"/>
      </w:pPr>
      <w:r>
        <w:separator/>
      </w:r>
    </w:p>
  </w:endnote>
  <w:endnote w:type="continuationSeparator" w:id="0">
    <w:p w14:paraId="34F2DB1D" w14:textId="77777777" w:rsidR="00785281" w:rsidRDefault="00785281" w:rsidP="00EF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altName w:val="Times New Roman"/>
    <w:charset w:val="00"/>
    <w:family w:val="swiss"/>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ws Gothic MT">
    <w:altName w:val="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1E19" w14:textId="77777777" w:rsidR="00785281" w:rsidRDefault="00785281" w:rsidP="00EF21F6">
      <w:pPr>
        <w:spacing w:after="0" w:line="240" w:lineRule="auto"/>
      </w:pPr>
      <w:r>
        <w:separator/>
      </w:r>
    </w:p>
  </w:footnote>
  <w:footnote w:type="continuationSeparator" w:id="0">
    <w:p w14:paraId="5AA419CE" w14:textId="77777777" w:rsidR="00785281" w:rsidRDefault="00785281" w:rsidP="00EF2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A8B"/>
    <w:multiLevelType w:val="hybridMultilevel"/>
    <w:tmpl w:val="3C0CF9E2"/>
    <w:lvl w:ilvl="0" w:tplc="024A0B5C">
      <w:start w:val="1"/>
      <w:numFmt w:val="bullet"/>
      <w:lvlText w:val="•"/>
      <w:lvlJc w:val="left"/>
      <w:pPr>
        <w:tabs>
          <w:tab w:val="num" w:pos="720"/>
        </w:tabs>
        <w:ind w:left="720" w:hanging="360"/>
      </w:pPr>
      <w:rPr>
        <w:rFonts w:ascii="Arial" w:hAnsi="Arial" w:hint="default"/>
      </w:rPr>
    </w:lvl>
    <w:lvl w:ilvl="1" w:tplc="0CF20E18" w:tentative="1">
      <w:start w:val="1"/>
      <w:numFmt w:val="bullet"/>
      <w:lvlText w:val="•"/>
      <w:lvlJc w:val="left"/>
      <w:pPr>
        <w:tabs>
          <w:tab w:val="num" w:pos="1440"/>
        </w:tabs>
        <w:ind w:left="1440" w:hanging="360"/>
      </w:pPr>
      <w:rPr>
        <w:rFonts w:ascii="Arial" w:hAnsi="Arial" w:hint="default"/>
      </w:rPr>
    </w:lvl>
    <w:lvl w:ilvl="2" w:tplc="24CAD1A0" w:tentative="1">
      <w:start w:val="1"/>
      <w:numFmt w:val="bullet"/>
      <w:lvlText w:val="•"/>
      <w:lvlJc w:val="left"/>
      <w:pPr>
        <w:tabs>
          <w:tab w:val="num" w:pos="2160"/>
        </w:tabs>
        <w:ind w:left="2160" w:hanging="360"/>
      </w:pPr>
      <w:rPr>
        <w:rFonts w:ascii="Arial" w:hAnsi="Arial" w:hint="default"/>
      </w:rPr>
    </w:lvl>
    <w:lvl w:ilvl="3" w:tplc="88C46072" w:tentative="1">
      <w:start w:val="1"/>
      <w:numFmt w:val="bullet"/>
      <w:lvlText w:val="•"/>
      <w:lvlJc w:val="left"/>
      <w:pPr>
        <w:tabs>
          <w:tab w:val="num" w:pos="2880"/>
        </w:tabs>
        <w:ind w:left="2880" w:hanging="360"/>
      </w:pPr>
      <w:rPr>
        <w:rFonts w:ascii="Arial" w:hAnsi="Arial" w:hint="default"/>
      </w:rPr>
    </w:lvl>
    <w:lvl w:ilvl="4" w:tplc="56405014" w:tentative="1">
      <w:start w:val="1"/>
      <w:numFmt w:val="bullet"/>
      <w:lvlText w:val="•"/>
      <w:lvlJc w:val="left"/>
      <w:pPr>
        <w:tabs>
          <w:tab w:val="num" w:pos="3600"/>
        </w:tabs>
        <w:ind w:left="3600" w:hanging="360"/>
      </w:pPr>
      <w:rPr>
        <w:rFonts w:ascii="Arial" w:hAnsi="Arial" w:hint="default"/>
      </w:rPr>
    </w:lvl>
    <w:lvl w:ilvl="5" w:tplc="9B78CB1C" w:tentative="1">
      <w:start w:val="1"/>
      <w:numFmt w:val="bullet"/>
      <w:lvlText w:val="•"/>
      <w:lvlJc w:val="left"/>
      <w:pPr>
        <w:tabs>
          <w:tab w:val="num" w:pos="4320"/>
        </w:tabs>
        <w:ind w:left="4320" w:hanging="360"/>
      </w:pPr>
      <w:rPr>
        <w:rFonts w:ascii="Arial" w:hAnsi="Arial" w:hint="default"/>
      </w:rPr>
    </w:lvl>
    <w:lvl w:ilvl="6" w:tplc="AD18FDE4" w:tentative="1">
      <w:start w:val="1"/>
      <w:numFmt w:val="bullet"/>
      <w:lvlText w:val="•"/>
      <w:lvlJc w:val="left"/>
      <w:pPr>
        <w:tabs>
          <w:tab w:val="num" w:pos="5040"/>
        </w:tabs>
        <w:ind w:left="5040" w:hanging="360"/>
      </w:pPr>
      <w:rPr>
        <w:rFonts w:ascii="Arial" w:hAnsi="Arial" w:hint="default"/>
      </w:rPr>
    </w:lvl>
    <w:lvl w:ilvl="7" w:tplc="D81086FC" w:tentative="1">
      <w:start w:val="1"/>
      <w:numFmt w:val="bullet"/>
      <w:lvlText w:val="•"/>
      <w:lvlJc w:val="left"/>
      <w:pPr>
        <w:tabs>
          <w:tab w:val="num" w:pos="5760"/>
        </w:tabs>
        <w:ind w:left="5760" w:hanging="360"/>
      </w:pPr>
      <w:rPr>
        <w:rFonts w:ascii="Arial" w:hAnsi="Arial" w:hint="default"/>
      </w:rPr>
    </w:lvl>
    <w:lvl w:ilvl="8" w:tplc="1A1635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145B37"/>
    <w:multiLevelType w:val="hybridMultilevel"/>
    <w:tmpl w:val="512A1F8E"/>
    <w:lvl w:ilvl="0" w:tplc="FEB61888">
      <w:start w:val="1"/>
      <w:numFmt w:val="bullet"/>
      <w:lvlText w:val="•"/>
      <w:lvlJc w:val="left"/>
      <w:pPr>
        <w:tabs>
          <w:tab w:val="num" w:pos="720"/>
        </w:tabs>
        <w:ind w:left="720" w:hanging="360"/>
      </w:pPr>
      <w:rPr>
        <w:rFonts w:ascii="Arial" w:hAnsi="Arial" w:hint="default"/>
      </w:rPr>
    </w:lvl>
    <w:lvl w:ilvl="1" w:tplc="58AAE9E6" w:tentative="1">
      <w:start w:val="1"/>
      <w:numFmt w:val="bullet"/>
      <w:lvlText w:val="•"/>
      <w:lvlJc w:val="left"/>
      <w:pPr>
        <w:tabs>
          <w:tab w:val="num" w:pos="1440"/>
        </w:tabs>
        <w:ind w:left="1440" w:hanging="360"/>
      </w:pPr>
      <w:rPr>
        <w:rFonts w:ascii="Arial" w:hAnsi="Arial" w:hint="default"/>
      </w:rPr>
    </w:lvl>
    <w:lvl w:ilvl="2" w:tplc="A030F356" w:tentative="1">
      <w:start w:val="1"/>
      <w:numFmt w:val="bullet"/>
      <w:lvlText w:val="•"/>
      <w:lvlJc w:val="left"/>
      <w:pPr>
        <w:tabs>
          <w:tab w:val="num" w:pos="2160"/>
        </w:tabs>
        <w:ind w:left="2160" w:hanging="360"/>
      </w:pPr>
      <w:rPr>
        <w:rFonts w:ascii="Arial" w:hAnsi="Arial" w:hint="default"/>
      </w:rPr>
    </w:lvl>
    <w:lvl w:ilvl="3" w:tplc="F2EA804C" w:tentative="1">
      <w:start w:val="1"/>
      <w:numFmt w:val="bullet"/>
      <w:lvlText w:val="•"/>
      <w:lvlJc w:val="left"/>
      <w:pPr>
        <w:tabs>
          <w:tab w:val="num" w:pos="2880"/>
        </w:tabs>
        <w:ind w:left="2880" w:hanging="360"/>
      </w:pPr>
      <w:rPr>
        <w:rFonts w:ascii="Arial" w:hAnsi="Arial" w:hint="default"/>
      </w:rPr>
    </w:lvl>
    <w:lvl w:ilvl="4" w:tplc="6AF229D4" w:tentative="1">
      <w:start w:val="1"/>
      <w:numFmt w:val="bullet"/>
      <w:lvlText w:val="•"/>
      <w:lvlJc w:val="left"/>
      <w:pPr>
        <w:tabs>
          <w:tab w:val="num" w:pos="3600"/>
        </w:tabs>
        <w:ind w:left="3600" w:hanging="360"/>
      </w:pPr>
      <w:rPr>
        <w:rFonts w:ascii="Arial" w:hAnsi="Arial" w:hint="default"/>
      </w:rPr>
    </w:lvl>
    <w:lvl w:ilvl="5" w:tplc="14823472" w:tentative="1">
      <w:start w:val="1"/>
      <w:numFmt w:val="bullet"/>
      <w:lvlText w:val="•"/>
      <w:lvlJc w:val="left"/>
      <w:pPr>
        <w:tabs>
          <w:tab w:val="num" w:pos="4320"/>
        </w:tabs>
        <w:ind w:left="4320" w:hanging="360"/>
      </w:pPr>
      <w:rPr>
        <w:rFonts w:ascii="Arial" w:hAnsi="Arial" w:hint="default"/>
      </w:rPr>
    </w:lvl>
    <w:lvl w:ilvl="6" w:tplc="4F9C92A0" w:tentative="1">
      <w:start w:val="1"/>
      <w:numFmt w:val="bullet"/>
      <w:lvlText w:val="•"/>
      <w:lvlJc w:val="left"/>
      <w:pPr>
        <w:tabs>
          <w:tab w:val="num" w:pos="5040"/>
        </w:tabs>
        <w:ind w:left="5040" w:hanging="360"/>
      </w:pPr>
      <w:rPr>
        <w:rFonts w:ascii="Arial" w:hAnsi="Arial" w:hint="default"/>
      </w:rPr>
    </w:lvl>
    <w:lvl w:ilvl="7" w:tplc="8D7A00F8" w:tentative="1">
      <w:start w:val="1"/>
      <w:numFmt w:val="bullet"/>
      <w:lvlText w:val="•"/>
      <w:lvlJc w:val="left"/>
      <w:pPr>
        <w:tabs>
          <w:tab w:val="num" w:pos="5760"/>
        </w:tabs>
        <w:ind w:left="5760" w:hanging="360"/>
      </w:pPr>
      <w:rPr>
        <w:rFonts w:ascii="Arial" w:hAnsi="Arial" w:hint="default"/>
      </w:rPr>
    </w:lvl>
    <w:lvl w:ilvl="8" w:tplc="AD146D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C81FFA"/>
    <w:multiLevelType w:val="hybridMultilevel"/>
    <w:tmpl w:val="FFB0AC94"/>
    <w:lvl w:ilvl="0" w:tplc="29D67610">
      <w:start w:val="1"/>
      <w:numFmt w:val="bullet"/>
      <w:lvlText w:val="•"/>
      <w:lvlJc w:val="left"/>
      <w:pPr>
        <w:tabs>
          <w:tab w:val="num" w:pos="720"/>
        </w:tabs>
        <w:ind w:left="720" w:hanging="360"/>
      </w:pPr>
      <w:rPr>
        <w:rFonts w:ascii="Arial" w:hAnsi="Arial" w:hint="default"/>
      </w:rPr>
    </w:lvl>
    <w:lvl w:ilvl="1" w:tplc="9FA8A1B0">
      <w:numFmt w:val="bullet"/>
      <w:lvlText w:val="&gt;"/>
      <w:lvlJc w:val="left"/>
      <w:pPr>
        <w:tabs>
          <w:tab w:val="num" w:pos="1440"/>
        </w:tabs>
        <w:ind w:left="1440" w:hanging="360"/>
      </w:pPr>
      <w:rPr>
        <w:rFonts w:ascii="News Gothic" w:hAnsi="News Gothic" w:hint="default"/>
      </w:rPr>
    </w:lvl>
    <w:lvl w:ilvl="2" w:tplc="89F287AA" w:tentative="1">
      <w:start w:val="1"/>
      <w:numFmt w:val="bullet"/>
      <w:lvlText w:val="•"/>
      <w:lvlJc w:val="left"/>
      <w:pPr>
        <w:tabs>
          <w:tab w:val="num" w:pos="2160"/>
        </w:tabs>
        <w:ind w:left="2160" w:hanging="360"/>
      </w:pPr>
      <w:rPr>
        <w:rFonts w:ascii="Arial" w:hAnsi="Arial" w:hint="default"/>
      </w:rPr>
    </w:lvl>
    <w:lvl w:ilvl="3" w:tplc="0DB4EFAE" w:tentative="1">
      <w:start w:val="1"/>
      <w:numFmt w:val="bullet"/>
      <w:lvlText w:val="•"/>
      <w:lvlJc w:val="left"/>
      <w:pPr>
        <w:tabs>
          <w:tab w:val="num" w:pos="2880"/>
        </w:tabs>
        <w:ind w:left="2880" w:hanging="360"/>
      </w:pPr>
      <w:rPr>
        <w:rFonts w:ascii="Arial" w:hAnsi="Arial" w:hint="default"/>
      </w:rPr>
    </w:lvl>
    <w:lvl w:ilvl="4" w:tplc="8F22A084" w:tentative="1">
      <w:start w:val="1"/>
      <w:numFmt w:val="bullet"/>
      <w:lvlText w:val="•"/>
      <w:lvlJc w:val="left"/>
      <w:pPr>
        <w:tabs>
          <w:tab w:val="num" w:pos="3600"/>
        </w:tabs>
        <w:ind w:left="3600" w:hanging="360"/>
      </w:pPr>
      <w:rPr>
        <w:rFonts w:ascii="Arial" w:hAnsi="Arial" w:hint="default"/>
      </w:rPr>
    </w:lvl>
    <w:lvl w:ilvl="5" w:tplc="593CDEDA" w:tentative="1">
      <w:start w:val="1"/>
      <w:numFmt w:val="bullet"/>
      <w:lvlText w:val="•"/>
      <w:lvlJc w:val="left"/>
      <w:pPr>
        <w:tabs>
          <w:tab w:val="num" w:pos="4320"/>
        </w:tabs>
        <w:ind w:left="4320" w:hanging="360"/>
      </w:pPr>
      <w:rPr>
        <w:rFonts w:ascii="Arial" w:hAnsi="Arial" w:hint="default"/>
      </w:rPr>
    </w:lvl>
    <w:lvl w:ilvl="6" w:tplc="051696CE" w:tentative="1">
      <w:start w:val="1"/>
      <w:numFmt w:val="bullet"/>
      <w:lvlText w:val="•"/>
      <w:lvlJc w:val="left"/>
      <w:pPr>
        <w:tabs>
          <w:tab w:val="num" w:pos="5040"/>
        </w:tabs>
        <w:ind w:left="5040" w:hanging="360"/>
      </w:pPr>
      <w:rPr>
        <w:rFonts w:ascii="Arial" w:hAnsi="Arial" w:hint="default"/>
      </w:rPr>
    </w:lvl>
    <w:lvl w:ilvl="7" w:tplc="DCEE5294" w:tentative="1">
      <w:start w:val="1"/>
      <w:numFmt w:val="bullet"/>
      <w:lvlText w:val="•"/>
      <w:lvlJc w:val="left"/>
      <w:pPr>
        <w:tabs>
          <w:tab w:val="num" w:pos="5760"/>
        </w:tabs>
        <w:ind w:left="5760" w:hanging="360"/>
      </w:pPr>
      <w:rPr>
        <w:rFonts w:ascii="Arial" w:hAnsi="Arial" w:hint="default"/>
      </w:rPr>
    </w:lvl>
    <w:lvl w:ilvl="8" w:tplc="4D6C8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8117DD"/>
    <w:multiLevelType w:val="hybridMultilevel"/>
    <w:tmpl w:val="806E6308"/>
    <w:lvl w:ilvl="0" w:tplc="B8AC442E">
      <w:start w:val="1"/>
      <w:numFmt w:val="bullet"/>
      <w:lvlText w:val="•"/>
      <w:lvlJc w:val="left"/>
      <w:pPr>
        <w:tabs>
          <w:tab w:val="num" w:pos="720"/>
        </w:tabs>
        <w:ind w:left="720" w:hanging="360"/>
      </w:pPr>
      <w:rPr>
        <w:rFonts w:ascii="Arial" w:hAnsi="Arial" w:hint="default"/>
      </w:rPr>
    </w:lvl>
    <w:lvl w:ilvl="1" w:tplc="E46A43AA">
      <w:numFmt w:val="bullet"/>
      <w:lvlText w:val="&gt;"/>
      <w:lvlJc w:val="left"/>
      <w:pPr>
        <w:tabs>
          <w:tab w:val="num" w:pos="1440"/>
        </w:tabs>
        <w:ind w:left="1440" w:hanging="360"/>
      </w:pPr>
      <w:rPr>
        <w:rFonts w:ascii="News Gothic" w:hAnsi="News Gothic" w:hint="default"/>
      </w:rPr>
    </w:lvl>
    <w:lvl w:ilvl="2" w:tplc="2F52D12A" w:tentative="1">
      <w:start w:val="1"/>
      <w:numFmt w:val="bullet"/>
      <w:lvlText w:val="•"/>
      <w:lvlJc w:val="left"/>
      <w:pPr>
        <w:tabs>
          <w:tab w:val="num" w:pos="2160"/>
        </w:tabs>
        <w:ind w:left="2160" w:hanging="360"/>
      </w:pPr>
      <w:rPr>
        <w:rFonts w:ascii="Arial" w:hAnsi="Arial" w:hint="default"/>
      </w:rPr>
    </w:lvl>
    <w:lvl w:ilvl="3" w:tplc="D0B8AE98" w:tentative="1">
      <w:start w:val="1"/>
      <w:numFmt w:val="bullet"/>
      <w:lvlText w:val="•"/>
      <w:lvlJc w:val="left"/>
      <w:pPr>
        <w:tabs>
          <w:tab w:val="num" w:pos="2880"/>
        </w:tabs>
        <w:ind w:left="2880" w:hanging="360"/>
      </w:pPr>
      <w:rPr>
        <w:rFonts w:ascii="Arial" w:hAnsi="Arial" w:hint="default"/>
      </w:rPr>
    </w:lvl>
    <w:lvl w:ilvl="4" w:tplc="8BEEA534" w:tentative="1">
      <w:start w:val="1"/>
      <w:numFmt w:val="bullet"/>
      <w:lvlText w:val="•"/>
      <w:lvlJc w:val="left"/>
      <w:pPr>
        <w:tabs>
          <w:tab w:val="num" w:pos="3600"/>
        </w:tabs>
        <w:ind w:left="3600" w:hanging="360"/>
      </w:pPr>
      <w:rPr>
        <w:rFonts w:ascii="Arial" w:hAnsi="Arial" w:hint="default"/>
      </w:rPr>
    </w:lvl>
    <w:lvl w:ilvl="5" w:tplc="564887DE" w:tentative="1">
      <w:start w:val="1"/>
      <w:numFmt w:val="bullet"/>
      <w:lvlText w:val="•"/>
      <w:lvlJc w:val="left"/>
      <w:pPr>
        <w:tabs>
          <w:tab w:val="num" w:pos="4320"/>
        </w:tabs>
        <w:ind w:left="4320" w:hanging="360"/>
      </w:pPr>
      <w:rPr>
        <w:rFonts w:ascii="Arial" w:hAnsi="Arial" w:hint="default"/>
      </w:rPr>
    </w:lvl>
    <w:lvl w:ilvl="6" w:tplc="B42A3AF6" w:tentative="1">
      <w:start w:val="1"/>
      <w:numFmt w:val="bullet"/>
      <w:lvlText w:val="•"/>
      <w:lvlJc w:val="left"/>
      <w:pPr>
        <w:tabs>
          <w:tab w:val="num" w:pos="5040"/>
        </w:tabs>
        <w:ind w:left="5040" w:hanging="360"/>
      </w:pPr>
      <w:rPr>
        <w:rFonts w:ascii="Arial" w:hAnsi="Arial" w:hint="default"/>
      </w:rPr>
    </w:lvl>
    <w:lvl w:ilvl="7" w:tplc="4F968E86" w:tentative="1">
      <w:start w:val="1"/>
      <w:numFmt w:val="bullet"/>
      <w:lvlText w:val="•"/>
      <w:lvlJc w:val="left"/>
      <w:pPr>
        <w:tabs>
          <w:tab w:val="num" w:pos="5760"/>
        </w:tabs>
        <w:ind w:left="5760" w:hanging="360"/>
      </w:pPr>
      <w:rPr>
        <w:rFonts w:ascii="Arial" w:hAnsi="Arial" w:hint="default"/>
      </w:rPr>
    </w:lvl>
    <w:lvl w:ilvl="8" w:tplc="582C0F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B318A8"/>
    <w:multiLevelType w:val="hybridMultilevel"/>
    <w:tmpl w:val="56D808AE"/>
    <w:lvl w:ilvl="0" w:tplc="7C4E305E">
      <w:start w:val="1"/>
      <w:numFmt w:val="bullet"/>
      <w:lvlText w:val="&gt;"/>
      <w:lvlJc w:val="left"/>
      <w:pPr>
        <w:tabs>
          <w:tab w:val="num" w:pos="720"/>
        </w:tabs>
        <w:ind w:left="720" w:hanging="360"/>
      </w:pPr>
      <w:rPr>
        <w:rFonts w:ascii="News Gothic" w:hAnsi="News Gothic" w:hint="default"/>
      </w:rPr>
    </w:lvl>
    <w:lvl w:ilvl="1" w:tplc="ED64B82A">
      <w:start w:val="1"/>
      <w:numFmt w:val="bullet"/>
      <w:lvlText w:val="&gt;"/>
      <w:lvlJc w:val="left"/>
      <w:pPr>
        <w:tabs>
          <w:tab w:val="num" w:pos="1440"/>
        </w:tabs>
        <w:ind w:left="1440" w:hanging="360"/>
      </w:pPr>
      <w:rPr>
        <w:rFonts w:ascii="News Gothic" w:hAnsi="News Gothic" w:hint="default"/>
      </w:rPr>
    </w:lvl>
    <w:lvl w:ilvl="2" w:tplc="D86ADB96" w:tentative="1">
      <w:start w:val="1"/>
      <w:numFmt w:val="bullet"/>
      <w:lvlText w:val="&gt;"/>
      <w:lvlJc w:val="left"/>
      <w:pPr>
        <w:tabs>
          <w:tab w:val="num" w:pos="2160"/>
        </w:tabs>
        <w:ind w:left="2160" w:hanging="360"/>
      </w:pPr>
      <w:rPr>
        <w:rFonts w:ascii="News Gothic" w:hAnsi="News Gothic" w:hint="default"/>
      </w:rPr>
    </w:lvl>
    <w:lvl w:ilvl="3" w:tplc="B798F7CE" w:tentative="1">
      <w:start w:val="1"/>
      <w:numFmt w:val="bullet"/>
      <w:lvlText w:val="&gt;"/>
      <w:lvlJc w:val="left"/>
      <w:pPr>
        <w:tabs>
          <w:tab w:val="num" w:pos="2880"/>
        </w:tabs>
        <w:ind w:left="2880" w:hanging="360"/>
      </w:pPr>
      <w:rPr>
        <w:rFonts w:ascii="News Gothic" w:hAnsi="News Gothic" w:hint="default"/>
      </w:rPr>
    </w:lvl>
    <w:lvl w:ilvl="4" w:tplc="3FBA368A" w:tentative="1">
      <w:start w:val="1"/>
      <w:numFmt w:val="bullet"/>
      <w:lvlText w:val="&gt;"/>
      <w:lvlJc w:val="left"/>
      <w:pPr>
        <w:tabs>
          <w:tab w:val="num" w:pos="3600"/>
        </w:tabs>
        <w:ind w:left="3600" w:hanging="360"/>
      </w:pPr>
      <w:rPr>
        <w:rFonts w:ascii="News Gothic" w:hAnsi="News Gothic" w:hint="default"/>
      </w:rPr>
    </w:lvl>
    <w:lvl w:ilvl="5" w:tplc="D50E2A62" w:tentative="1">
      <w:start w:val="1"/>
      <w:numFmt w:val="bullet"/>
      <w:lvlText w:val="&gt;"/>
      <w:lvlJc w:val="left"/>
      <w:pPr>
        <w:tabs>
          <w:tab w:val="num" w:pos="4320"/>
        </w:tabs>
        <w:ind w:left="4320" w:hanging="360"/>
      </w:pPr>
      <w:rPr>
        <w:rFonts w:ascii="News Gothic" w:hAnsi="News Gothic" w:hint="default"/>
      </w:rPr>
    </w:lvl>
    <w:lvl w:ilvl="6" w:tplc="38045D7E" w:tentative="1">
      <w:start w:val="1"/>
      <w:numFmt w:val="bullet"/>
      <w:lvlText w:val="&gt;"/>
      <w:lvlJc w:val="left"/>
      <w:pPr>
        <w:tabs>
          <w:tab w:val="num" w:pos="5040"/>
        </w:tabs>
        <w:ind w:left="5040" w:hanging="360"/>
      </w:pPr>
      <w:rPr>
        <w:rFonts w:ascii="News Gothic" w:hAnsi="News Gothic" w:hint="default"/>
      </w:rPr>
    </w:lvl>
    <w:lvl w:ilvl="7" w:tplc="25A2048A" w:tentative="1">
      <w:start w:val="1"/>
      <w:numFmt w:val="bullet"/>
      <w:lvlText w:val="&gt;"/>
      <w:lvlJc w:val="left"/>
      <w:pPr>
        <w:tabs>
          <w:tab w:val="num" w:pos="5760"/>
        </w:tabs>
        <w:ind w:left="5760" w:hanging="360"/>
      </w:pPr>
      <w:rPr>
        <w:rFonts w:ascii="News Gothic" w:hAnsi="News Gothic" w:hint="default"/>
      </w:rPr>
    </w:lvl>
    <w:lvl w:ilvl="8" w:tplc="9162CA4C" w:tentative="1">
      <w:start w:val="1"/>
      <w:numFmt w:val="bullet"/>
      <w:lvlText w:val="&gt;"/>
      <w:lvlJc w:val="left"/>
      <w:pPr>
        <w:tabs>
          <w:tab w:val="num" w:pos="6480"/>
        </w:tabs>
        <w:ind w:left="6480" w:hanging="360"/>
      </w:pPr>
      <w:rPr>
        <w:rFonts w:ascii="News Gothic" w:hAnsi="News Gothic" w:hint="default"/>
      </w:rPr>
    </w:lvl>
  </w:abstractNum>
  <w:abstractNum w:abstractNumId="5" w15:restartNumberingAfterBreak="0">
    <w:nsid w:val="603521BF"/>
    <w:multiLevelType w:val="hybridMultilevel"/>
    <w:tmpl w:val="C322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B02C0"/>
    <w:multiLevelType w:val="hybridMultilevel"/>
    <w:tmpl w:val="7884CF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DF2323"/>
    <w:multiLevelType w:val="hybridMultilevel"/>
    <w:tmpl w:val="4F1A1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752621A"/>
    <w:multiLevelType w:val="hybridMultilevel"/>
    <w:tmpl w:val="62D053DC"/>
    <w:lvl w:ilvl="0" w:tplc="6CD6AA86">
      <w:start w:val="9"/>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BB"/>
    <w:rsid w:val="00070E27"/>
    <w:rsid w:val="00070EA7"/>
    <w:rsid w:val="00072A67"/>
    <w:rsid w:val="0008296E"/>
    <w:rsid w:val="0009044A"/>
    <w:rsid w:val="00093DDF"/>
    <w:rsid w:val="000B4262"/>
    <w:rsid w:val="000B523E"/>
    <w:rsid w:val="000F1FF4"/>
    <w:rsid w:val="001026D3"/>
    <w:rsid w:val="00124B56"/>
    <w:rsid w:val="00141C3C"/>
    <w:rsid w:val="001568F8"/>
    <w:rsid w:val="001578F9"/>
    <w:rsid w:val="00172C13"/>
    <w:rsid w:val="001831A4"/>
    <w:rsid w:val="00184CC2"/>
    <w:rsid w:val="00190664"/>
    <w:rsid w:val="001C5C28"/>
    <w:rsid w:val="001C659A"/>
    <w:rsid w:val="001D39EA"/>
    <w:rsid w:val="001D52A5"/>
    <w:rsid w:val="001E5E24"/>
    <w:rsid w:val="001F166E"/>
    <w:rsid w:val="00201D92"/>
    <w:rsid w:val="00206834"/>
    <w:rsid w:val="00212CB7"/>
    <w:rsid w:val="00213D7B"/>
    <w:rsid w:val="00213EBE"/>
    <w:rsid w:val="00214936"/>
    <w:rsid w:val="00225EC8"/>
    <w:rsid w:val="00230FC2"/>
    <w:rsid w:val="00260188"/>
    <w:rsid w:val="00267ECC"/>
    <w:rsid w:val="00275FF5"/>
    <w:rsid w:val="00295E90"/>
    <w:rsid w:val="002A3302"/>
    <w:rsid w:val="002F5750"/>
    <w:rsid w:val="002F6D7F"/>
    <w:rsid w:val="00337F83"/>
    <w:rsid w:val="00340ABB"/>
    <w:rsid w:val="0034286A"/>
    <w:rsid w:val="00385A64"/>
    <w:rsid w:val="003B387B"/>
    <w:rsid w:val="003B6F3C"/>
    <w:rsid w:val="004267E9"/>
    <w:rsid w:val="00430797"/>
    <w:rsid w:val="00451710"/>
    <w:rsid w:val="00456CF0"/>
    <w:rsid w:val="00460FD0"/>
    <w:rsid w:val="00464DCA"/>
    <w:rsid w:val="00486333"/>
    <w:rsid w:val="004870B2"/>
    <w:rsid w:val="00494541"/>
    <w:rsid w:val="004A09BB"/>
    <w:rsid w:val="004E5C16"/>
    <w:rsid w:val="0050007B"/>
    <w:rsid w:val="0050042C"/>
    <w:rsid w:val="00501D8E"/>
    <w:rsid w:val="005105D6"/>
    <w:rsid w:val="0052667E"/>
    <w:rsid w:val="00533C54"/>
    <w:rsid w:val="00555F6F"/>
    <w:rsid w:val="0055671F"/>
    <w:rsid w:val="005618AC"/>
    <w:rsid w:val="005618AE"/>
    <w:rsid w:val="00561D75"/>
    <w:rsid w:val="00590F90"/>
    <w:rsid w:val="005912E8"/>
    <w:rsid w:val="005917BF"/>
    <w:rsid w:val="005B5FBA"/>
    <w:rsid w:val="005C1333"/>
    <w:rsid w:val="005D6B49"/>
    <w:rsid w:val="005E1067"/>
    <w:rsid w:val="006057A1"/>
    <w:rsid w:val="00645CE9"/>
    <w:rsid w:val="00646E5B"/>
    <w:rsid w:val="00661569"/>
    <w:rsid w:val="006761DB"/>
    <w:rsid w:val="00681D98"/>
    <w:rsid w:val="006B4F8A"/>
    <w:rsid w:val="006F71FF"/>
    <w:rsid w:val="00706A6A"/>
    <w:rsid w:val="00727F59"/>
    <w:rsid w:val="00751BAC"/>
    <w:rsid w:val="007525C1"/>
    <w:rsid w:val="00752DE7"/>
    <w:rsid w:val="0075750B"/>
    <w:rsid w:val="00762ADF"/>
    <w:rsid w:val="00785281"/>
    <w:rsid w:val="007901F4"/>
    <w:rsid w:val="007B5499"/>
    <w:rsid w:val="007B54E2"/>
    <w:rsid w:val="007C4E5B"/>
    <w:rsid w:val="007D3DB0"/>
    <w:rsid w:val="007D3E8E"/>
    <w:rsid w:val="007D6960"/>
    <w:rsid w:val="007E1643"/>
    <w:rsid w:val="007E1D52"/>
    <w:rsid w:val="0080777C"/>
    <w:rsid w:val="00807D09"/>
    <w:rsid w:val="008145D6"/>
    <w:rsid w:val="00816056"/>
    <w:rsid w:val="00820888"/>
    <w:rsid w:val="008217AF"/>
    <w:rsid w:val="00841263"/>
    <w:rsid w:val="00844791"/>
    <w:rsid w:val="00853837"/>
    <w:rsid w:val="00866D2B"/>
    <w:rsid w:val="00871763"/>
    <w:rsid w:val="00882BE9"/>
    <w:rsid w:val="00891D52"/>
    <w:rsid w:val="008B1218"/>
    <w:rsid w:val="008B6FAF"/>
    <w:rsid w:val="008B7876"/>
    <w:rsid w:val="008C5969"/>
    <w:rsid w:val="008E27DC"/>
    <w:rsid w:val="008F61C5"/>
    <w:rsid w:val="00902B12"/>
    <w:rsid w:val="0090364C"/>
    <w:rsid w:val="00912883"/>
    <w:rsid w:val="00913913"/>
    <w:rsid w:val="00916B90"/>
    <w:rsid w:val="00920D28"/>
    <w:rsid w:val="00945F49"/>
    <w:rsid w:val="00972B70"/>
    <w:rsid w:val="00983F46"/>
    <w:rsid w:val="009A7239"/>
    <w:rsid w:val="009B5C21"/>
    <w:rsid w:val="009C3CAA"/>
    <w:rsid w:val="009C42ED"/>
    <w:rsid w:val="009C5019"/>
    <w:rsid w:val="009D2D00"/>
    <w:rsid w:val="009E26F5"/>
    <w:rsid w:val="009F6E87"/>
    <w:rsid w:val="00A45A5A"/>
    <w:rsid w:val="00A53C2C"/>
    <w:rsid w:val="00A54F89"/>
    <w:rsid w:val="00A74045"/>
    <w:rsid w:val="00A74861"/>
    <w:rsid w:val="00A811E6"/>
    <w:rsid w:val="00A8405F"/>
    <w:rsid w:val="00A9008C"/>
    <w:rsid w:val="00AB0401"/>
    <w:rsid w:val="00AB5376"/>
    <w:rsid w:val="00AB73D0"/>
    <w:rsid w:val="00AC1CE4"/>
    <w:rsid w:val="00AC2089"/>
    <w:rsid w:val="00AC2BE7"/>
    <w:rsid w:val="00AC6112"/>
    <w:rsid w:val="00AE05BF"/>
    <w:rsid w:val="00AE55E0"/>
    <w:rsid w:val="00AF568F"/>
    <w:rsid w:val="00B06107"/>
    <w:rsid w:val="00B118A6"/>
    <w:rsid w:val="00B13F73"/>
    <w:rsid w:val="00B532D7"/>
    <w:rsid w:val="00B74615"/>
    <w:rsid w:val="00B77236"/>
    <w:rsid w:val="00BA463B"/>
    <w:rsid w:val="00BB2F21"/>
    <w:rsid w:val="00BB5B61"/>
    <w:rsid w:val="00BD09EE"/>
    <w:rsid w:val="00BE0303"/>
    <w:rsid w:val="00C16AA4"/>
    <w:rsid w:val="00C20D9C"/>
    <w:rsid w:val="00C23CC5"/>
    <w:rsid w:val="00C472C6"/>
    <w:rsid w:val="00C6044E"/>
    <w:rsid w:val="00C945D7"/>
    <w:rsid w:val="00CD7AB6"/>
    <w:rsid w:val="00CE63C4"/>
    <w:rsid w:val="00D3732C"/>
    <w:rsid w:val="00D424D8"/>
    <w:rsid w:val="00D473C5"/>
    <w:rsid w:val="00DC3A01"/>
    <w:rsid w:val="00DC62A4"/>
    <w:rsid w:val="00DC75BA"/>
    <w:rsid w:val="00DD2B01"/>
    <w:rsid w:val="00DD7B74"/>
    <w:rsid w:val="00DF1498"/>
    <w:rsid w:val="00E22DB3"/>
    <w:rsid w:val="00E46178"/>
    <w:rsid w:val="00E509EA"/>
    <w:rsid w:val="00E63C91"/>
    <w:rsid w:val="00E651F3"/>
    <w:rsid w:val="00E87102"/>
    <w:rsid w:val="00EA15D5"/>
    <w:rsid w:val="00EB423C"/>
    <w:rsid w:val="00EC73C0"/>
    <w:rsid w:val="00ED7450"/>
    <w:rsid w:val="00EF21F6"/>
    <w:rsid w:val="00EF54FD"/>
    <w:rsid w:val="00F1549C"/>
    <w:rsid w:val="00F20A4E"/>
    <w:rsid w:val="00F27143"/>
    <w:rsid w:val="00F53658"/>
    <w:rsid w:val="00F61860"/>
    <w:rsid w:val="00FC1124"/>
    <w:rsid w:val="00FD0816"/>
    <w:rsid w:val="00FD7775"/>
    <w:rsid w:val="00FE3422"/>
    <w:rsid w:val="00FE4CD9"/>
    <w:rsid w:val="00FF0076"/>
    <w:rsid w:val="00FF60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2030"/>
  <w15:chartTrackingRefBased/>
  <w15:docId w15:val="{0A4BCDE6-2D49-4519-A95D-BEC47DE4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0ABB"/>
    <w:rPr>
      <w:rFonts w:eastAsiaTheme="minorHAnsi"/>
      <w:lang w:eastAsia="en-US"/>
    </w:rPr>
  </w:style>
  <w:style w:type="paragraph" w:styleId="Heading2">
    <w:name w:val="heading 2"/>
    <w:basedOn w:val="Normal"/>
    <w:next w:val="Normal"/>
    <w:link w:val="Heading2Char"/>
    <w:uiPriority w:val="9"/>
    <w:unhideWhenUsed/>
    <w:qFormat/>
    <w:rsid w:val="00340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nklinHeader">
    <w:name w:val="Franklin Header"/>
    <w:basedOn w:val="Normal"/>
    <w:link w:val="FranklinHeaderChar"/>
    <w:qFormat/>
    <w:rsid w:val="00340ABB"/>
    <w:pPr>
      <w:spacing w:after="0" w:line="276" w:lineRule="auto"/>
      <w:jc w:val="both"/>
    </w:pPr>
    <w:rPr>
      <w:rFonts w:ascii="Franklin Gothic Medium" w:eastAsia="MS Mincho" w:hAnsi="Franklin Gothic Medium" w:cs="Times New Roman"/>
      <w:color w:val="2F7BB4"/>
      <w:sz w:val="28"/>
      <w:szCs w:val="28"/>
    </w:rPr>
  </w:style>
  <w:style w:type="character" w:customStyle="1" w:styleId="FranklinHeaderChar">
    <w:name w:val="Franklin Header Char"/>
    <w:link w:val="FranklinHeader"/>
    <w:rsid w:val="00340ABB"/>
    <w:rPr>
      <w:rFonts w:ascii="Franklin Gothic Medium" w:eastAsia="MS Mincho" w:hAnsi="Franklin Gothic Medium" w:cs="Times New Roman"/>
      <w:color w:val="2F7BB4"/>
      <w:sz w:val="28"/>
      <w:szCs w:val="28"/>
      <w:lang w:eastAsia="en-US"/>
    </w:rPr>
  </w:style>
  <w:style w:type="paragraph" w:customStyle="1" w:styleId="CoverPageHeadline">
    <w:name w:val="Cover Page Headline"/>
    <w:basedOn w:val="Normal"/>
    <w:link w:val="CoverPageHeadlineChar"/>
    <w:qFormat/>
    <w:rsid w:val="00340ABB"/>
    <w:pPr>
      <w:spacing w:after="0" w:line="276" w:lineRule="auto"/>
    </w:pPr>
    <w:rPr>
      <w:rFonts w:ascii="Franklin Gothic Medium" w:eastAsia="MS Mincho" w:hAnsi="Franklin Gothic Medium" w:cs="Times New Roman"/>
      <w:sz w:val="48"/>
      <w:szCs w:val="48"/>
    </w:rPr>
  </w:style>
  <w:style w:type="character" w:customStyle="1" w:styleId="CoverPageHeadlineChar">
    <w:name w:val="Cover Page Headline Char"/>
    <w:link w:val="CoverPageHeadline"/>
    <w:rsid w:val="00340ABB"/>
    <w:rPr>
      <w:rFonts w:ascii="Franklin Gothic Medium" w:eastAsia="MS Mincho" w:hAnsi="Franklin Gothic Medium" w:cs="Times New Roman"/>
      <w:sz w:val="48"/>
      <w:szCs w:val="48"/>
      <w:lang w:eastAsia="en-US"/>
    </w:rPr>
  </w:style>
  <w:style w:type="paragraph" w:styleId="BalloonText">
    <w:name w:val="Balloon Text"/>
    <w:basedOn w:val="Normal"/>
    <w:link w:val="BalloonTextChar"/>
    <w:uiPriority w:val="99"/>
    <w:semiHidden/>
    <w:unhideWhenUsed/>
    <w:rsid w:val="00340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ABB"/>
    <w:rPr>
      <w:rFonts w:ascii="Segoe UI" w:eastAsiaTheme="minorHAnsi" w:hAnsi="Segoe UI" w:cs="Segoe UI"/>
      <w:sz w:val="18"/>
      <w:szCs w:val="18"/>
      <w:lang w:eastAsia="en-US"/>
    </w:rPr>
  </w:style>
  <w:style w:type="paragraph" w:styleId="ListParagraph">
    <w:name w:val="List Paragraph"/>
    <w:aliases w:val="Dot pt,F5 List Paragraph,List Paragraph11,Recommendatio,OBC Bullet,Párrafo de lista,Recommendation,L,Recommendat,List Paragraph1,No Spacing1,List Paragraph Char Char Char,Indicator Text,Numbered Para 1,Colorful List - Accent 11,Bullet 1"/>
    <w:basedOn w:val="Normal"/>
    <w:link w:val="ListParagraphChar"/>
    <w:uiPriority w:val="34"/>
    <w:qFormat/>
    <w:rsid w:val="00340ABB"/>
    <w:pPr>
      <w:ind w:left="720"/>
      <w:contextualSpacing/>
    </w:pPr>
  </w:style>
  <w:style w:type="character" w:customStyle="1" w:styleId="ListParagraphChar">
    <w:name w:val="List Paragraph Char"/>
    <w:aliases w:val="Dot pt Char,F5 List Paragraph Char,List Paragraph11 Char,Recommendatio Char,OBC Bullet Char,Párrafo de lista Char,Recommendation Char,L Char,Recommendat Char,List Paragraph1 Char,No Spacing1 Char,List Paragraph Char Char Char Char"/>
    <w:basedOn w:val="DefaultParagraphFont"/>
    <w:link w:val="ListParagraph"/>
    <w:uiPriority w:val="34"/>
    <w:rsid w:val="00340ABB"/>
    <w:rPr>
      <w:rFonts w:eastAsiaTheme="minorHAnsi"/>
      <w:lang w:eastAsia="en-US"/>
    </w:rPr>
  </w:style>
  <w:style w:type="character" w:customStyle="1" w:styleId="Heading2Char">
    <w:name w:val="Heading 2 Char"/>
    <w:basedOn w:val="DefaultParagraphFont"/>
    <w:link w:val="Heading2"/>
    <w:uiPriority w:val="9"/>
    <w:rsid w:val="00340ABB"/>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FF608F"/>
    <w:rPr>
      <w:color w:val="0000FF"/>
      <w:u w:val="single"/>
    </w:rPr>
  </w:style>
  <w:style w:type="character" w:styleId="UnresolvedMention">
    <w:name w:val="Unresolved Mention"/>
    <w:basedOn w:val="DefaultParagraphFont"/>
    <w:uiPriority w:val="99"/>
    <w:semiHidden/>
    <w:unhideWhenUsed/>
    <w:rsid w:val="001568F8"/>
    <w:rPr>
      <w:color w:val="605E5C"/>
      <w:shd w:val="clear" w:color="auto" w:fill="E1DFDD"/>
    </w:rPr>
  </w:style>
  <w:style w:type="paragraph" w:styleId="Header">
    <w:name w:val="header"/>
    <w:basedOn w:val="Normal"/>
    <w:link w:val="HeaderChar"/>
    <w:uiPriority w:val="99"/>
    <w:unhideWhenUsed/>
    <w:rsid w:val="00EF2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F6"/>
    <w:rPr>
      <w:rFonts w:eastAsiaTheme="minorHAnsi"/>
      <w:lang w:eastAsia="en-US"/>
    </w:rPr>
  </w:style>
  <w:style w:type="paragraph" w:styleId="Footer">
    <w:name w:val="footer"/>
    <w:basedOn w:val="Normal"/>
    <w:link w:val="FooterChar"/>
    <w:uiPriority w:val="99"/>
    <w:unhideWhenUsed/>
    <w:rsid w:val="00EF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F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9188">
      <w:bodyDiv w:val="1"/>
      <w:marLeft w:val="0"/>
      <w:marRight w:val="0"/>
      <w:marTop w:val="0"/>
      <w:marBottom w:val="0"/>
      <w:divBdr>
        <w:top w:val="none" w:sz="0" w:space="0" w:color="auto"/>
        <w:left w:val="none" w:sz="0" w:space="0" w:color="auto"/>
        <w:bottom w:val="none" w:sz="0" w:space="0" w:color="auto"/>
        <w:right w:val="none" w:sz="0" w:space="0" w:color="auto"/>
      </w:divBdr>
      <w:divsChild>
        <w:div w:id="976107761">
          <w:marLeft w:val="1080"/>
          <w:marRight w:val="0"/>
          <w:marTop w:val="100"/>
          <w:marBottom w:val="0"/>
          <w:divBdr>
            <w:top w:val="none" w:sz="0" w:space="0" w:color="auto"/>
            <w:left w:val="none" w:sz="0" w:space="0" w:color="auto"/>
            <w:bottom w:val="none" w:sz="0" w:space="0" w:color="auto"/>
            <w:right w:val="none" w:sz="0" w:space="0" w:color="auto"/>
          </w:divBdr>
        </w:div>
      </w:divsChild>
    </w:div>
    <w:div w:id="460075003">
      <w:bodyDiv w:val="1"/>
      <w:marLeft w:val="0"/>
      <w:marRight w:val="0"/>
      <w:marTop w:val="0"/>
      <w:marBottom w:val="0"/>
      <w:divBdr>
        <w:top w:val="none" w:sz="0" w:space="0" w:color="auto"/>
        <w:left w:val="none" w:sz="0" w:space="0" w:color="auto"/>
        <w:bottom w:val="none" w:sz="0" w:space="0" w:color="auto"/>
        <w:right w:val="none" w:sz="0" w:space="0" w:color="auto"/>
      </w:divBdr>
    </w:div>
    <w:div w:id="523835486">
      <w:bodyDiv w:val="1"/>
      <w:marLeft w:val="0"/>
      <w:marRight w:val="0"/>
      <w:marTop w:val="0"/>
      <w:marBottom w:val="0"/>
      <w:divBdr>
        <w:top w:val="none" w:sz="0" w:space="0" w:color="auto"/>
        <w:left w:val="none" w:sz="0" w:space="0" w:color="auto"/>
        <w:bottom w:val="none" w:sz="0" w:space="0" w:color="auto"/>
        <w:right w:val="none" w:sz="0" w:space="0" w:color="auto"/>
      </w:divBdr>
      <w:divsChild>
        <w:div w:id="1840921642">
          <w:marLeft w:val="360"/>
          <w:marRight w:val="0"/>
          <w:marTop w:val="200"/>
          <w:marBottom w:val="0"/>
          <w:divBdr>
            <w:top w:val="none" w:sz="0" w:space="0" w:color="auto"/>
            <w:left w:val="none" w:sz="0" w:space="0" w:color="auto"/>
            <w:bottom w:val="none" w:sz="0" w:space="0" w:color="auto"/>
            <w:right w:val="none" w:sz="0" w:space="0" w:color="auto"/>
          </w:divBdr>
        </w:div>
      </w:divsChild>
    </w:div>
    <w:div w:id="807666346">
      <w:bodyDiv w:val="1"/>
      <w:marLeft w:val="0"/>
      <w:marRight w:val="0"/>
      <w:marTop w:val="0"/>
      <w:marBottom w:val="0"/>
      <w:divBdr>
        <w:top w:val="none" w:sz="0" w:space="0" w:color="auto"/>
        <w:left w:val="none" w:sz="0" w:space="0" w:color="auto"/>
        <w:bottom w:val="none" w:sz="0" w:space="0" w:color="auto"/>
        <w:right w:val="none" w:sz="0" w:space="0" w:color="auto"/>
      </w:divBdr>
    </w:div>
    <w:div w:id="833380343">
      <w:bodyDiv w:val="1"/>
      <w:marLeft w:val="0"/>
      <w:marRight w:val="0"/>
      <w:marTop w:val="0"/>
      <w:marBottom w:val="0"/>
      <w:divBdr>
        <w:top w:val="none" w:sz="0" w:space="0" w:color="auto"/>
        <w:left w:val="none" w:sz="0" w:space="0" w:color="auto"/>
        <w:bottom w:val="none" w:sz="0" w:space="0" w:color="auto"/>
        <w:right w:val="none" w:sz="0" w:space="0" w:color="auto"/>
      </w:divBdr>
      <w:divsChild>
        <w:div w:id="1064794366">
          <w:marLeft w:val="360"/>
          <w:marRight w:val="0"/>
          <w:marTop w:val="200"/>
          <w:marBottom w:val="0"/>
          <w:divBdr>
            <w:top w:val="none" w:sz="0" w:space="0" w:color="auto"/>
            <w:left w:val="none" w:sz="0" w:space="0" w:color="auto"/>
            <w:bottom w:val="none" w:sz="0" w:space="0" w:color="auto"/>
            <w:right w:val="none" w:sz="0" w:space="0" w:color="auto"/>
          </w:divBdr>
        </w:div>
        <w:div w:id="1736008862">
          <w:marLeft w:val="360"/>
          <w:marRight w:val="0"/>
          <w:marTop w:val="200"/>
          <w:marBottom w:val="0"/>
          <w:divBdr>
            <w:top w:val="none" w:sz="0" w:space="0" w:color="auto"/>
            <w:left w:val="none" w:sz="0" w:space="0" w:color="auto"/>
            <w:bottom w:val="none" w:sz="0" w:space="0" w:color="auto"/>
            <w:right w:val="none" w:sz="0" w:space="0" w:color="auto"/>
          </w:divBdr>
        </w:div>
        <w:div w:id="835069392">
          <w:marLeft w:val="360"/>
          <w:marRight w:val="0"/>
          <w:marTop w:val="200"/>
          <w:marBottom w:val="0"/>
          <w:divBdr>
            <w:top w:val="none" w:sz="0" w:space="0" w:color="auto"/>
            <w:left w:val="none" w:sz="0" w:space="0" w:color="auto"/>
            <w:bottom w:val="none" w:sz="0" w:space="0" w:color="auto"/>
            <w:right w:val="none" w:sz="0" w:space="0" w:color="auto"/>
          </w:divBdr>
        </w:div>
        <w:div w:id="1861818586">
          <w:marLeft w:val="360"/>
          <w:marRight w:val="0"/>
          <w:marTop w:val="200"/>
          <w:marBottom w:val="0"/>
          <w:divBdr>
            <w:top w:val="none" w:sz="0" w:space="0" w:color="auto"/>
            <w:left w:val="none" w:sz="0" w:space="0" w:color="auto"/>
            <w:bottom w:val="none" w:sz="0" w:space="0" w:color="auto"/>
            <w:right w:val="none" w:sz="0" w:space="0" w:color="auto"/>
          </w:divBdr>
        </w:div>
        <w:div w:id="797380023">
          <w:marLeft w:val="360"/>
          <w:marRight w:val="0"/>
          <w:marTop w:val="200"/>
          <w:marBottom w:val="0"/>
          <w:divBdr>
            <w:top w:val="none" w:sz="0" w:space="0" w:color="auto"/>
            <w:left w:val="none" w:sz="0" w:space="0" w:color="auto"/>
            <w:bottom w:val="none" w:sz="0" w:space="0" w:color="auto"/>
            <w:right w:val="none" w:sz="0" w:space="0" w:color="auto"/>
          </w:divBdr>
        </w:div>
        <w:div w:id="856309883">
          <w:marLeft w:val="360"/>
          <w:marRight w:val="0"/>
          <w:marTop w:val="200"/>
          <w:marBottom w:val="0"/>
          <w:divBdr>
            <w:top w:val="none" w:sz="0" w:space="0" w:color="auto"/>
            <w:left w:val="none" w:sz="0" w:space="0" w:color="auto"/>
            <w:bottom w:val="none" w:sz="0" w:space="0" w:color="auto"/>
            <w:right w:val="none" w:sz="0" w:space="0" w:color="auto"/>
          </w:divBdr>
        </w:div>
        <w:div w:id="131752044">
          <w:marLeft w:val="360"/>
          <w:marRight w:val="0"/>
          <w:marTop w:val="200"/>
          <w:marBottom w:val="0"/>
          <w:divBdr>
            <w:top w:val="none" w:sz="0" w:space="0" w:color="auto"/>
            <w:left w:val="none" w:sz="0" w:space="0" w:color="auto"/>
            <w:bottom w:val="none" w:sz="0" w:space="0" w:color="auto"/>
            <w:right w:val="none" w:sz="0" w:space="0" w:color="auto"/>
          </w:divBdr>
        </w:div>
      </w:divsChild>
    </w:div>
    <w:div w:id="969942677">
      <w:bodyDiv w:val="1"/>
      <w:marLeft w:val="0"/>
      <w:marRight w:val="0"/>
      <w:marTop w:val="0"/>
      <w:marBottom w:val="0"/>
      <w:divBdr>
        <w:top w:val="none" w:sz="0" w:space="0" w:color="auto"/>
        <w:left w:val="none" w:sz="0" w:space="0" w:color="auto"/>
        <w:bottom w:val="none" w:sz="0" w:space="0" w:color="auto"/>
        <w:right w:val="none" w:sz="0" w:space="0" w:color="auto"/>
      </w:divBdr>
      <w:divsChild>
        <w:div w:id="426199080">
          <w:marLeft w:val="360"/>
          <w:marRight w:val="0"/>
          <w:marTop w:val="200"/>
          <w:marBottom w:val="0"/>
          <w:divBdr>
            <w:top w:val="none" w:sz="0" w:space="0" w:color="auto"/>
            <w:left w:val="none" w:sz="0" w:space="0" w:color="auto"/>
            <w:bottom w:val="none" w:sz="0" w:space="0" w:color="auto"/>
            <w:right w:val="none" w:sz="0" w:space="0" w:color="auto"/>
          </w:divBdr>
        </w:div>
      </w:divsChild>
    </w:div>
    <w:div w:id="1126315216">
      <w:bodyDiv w:val="1"/>
      <w:marLeft w:val="0"/>
      <w:marRight w:val="0"/>
      <w:marTop w:val="0"/>
      <w:marBottom w:val="0"/>
      <w:divBdr>
        <w:top w:val="none" w:sz="0" w:space="0" w:color="auto"/>
        <w:left w:val="none" w:sz="0" w:space="0" w:color="auto"/>
        <w:bottom w:val="none" w:sz="0" w:space="0" w:color="auto"/>
        <w:right w:val="none" w:sz="0" w:space="0" w:color="auto"/>
      </w:divBdr>
    </w:div>
    <w:div w:id="1279218273">
      <w:bodyDiv w:val="1"/>
      <w:marLeft w:val="0"/>
      <w:marRight w:val="0"/>
      <w:marTop w:val="0"/>
      <w:marBottom w:val="0"/>
      <w:divBdr>
        <w:top w:val="none" w:sz="0" w:space="0" w:color="auto"/>
        <w:left w:val="none" w:sz="0" w:space="0" w:color="auto"/>
        <w:bottom w:val="none" w:sz="0" w:space="0" w:color="auto"/>
        <w:right w:val="none" w:sz="0" w:space="0" w:color="auto"/>
      </w:divBdr>
    </w:div>
    <w:div w:id="1371765140">
      <w:bodyDiv w:val="1"/>
      <w:marLeft w:val="0"/>
      <w:marRight w:val="0"/>
      <w:marTop w:val="0"/>
      <w:marBottom w:val="0"/>
      <w:divBdr>
        <w:top w:val="none" w:sz="0" w:space="0" w:color="auto"/>
        <w:left w:val="none" w:sz="0" w:space="0" w:color="auto"/>
        <w:bottom w:val="none" w:sz="0" w:space="0" w:color="auto"/>
        <w:right w:val="none" w:sz="0" w:space="0" w:color="auto"/>
      </w:divBdr>
      <w:divsChild>
        <w:div w:id="945650590">
          <w:marLeft w:val="360"/>
          <w:marRight w:val="0"/>
          <w:marTop w:val="200"/>
          <w:marBottom w:val="0"/>
          <w:divBdr>
            <w:top w:val="none" w:sz="0" w:space="0" w:color="auto"/>
            <w:left w:val="none" w:sz="0" w:space="0" w:color="auto"/>
            <w:bottom w:val="none" w:sz="0" w:space="0" w:color="auto"/>
            <w:right w:val="none" w:sz="0" w:space="0" w:color="auto"/>
          </w:divBdr>
        </w:div>
        <w:div w:id="2045669022">
          <w:marLeft w:val="1080"/>
          <w:marRight w:val="0"/>
          <w:marTop w:val="100"/>
          <w:marBottom w:val="0"/>
          <w:divBdr>
            <w:top w:val="none" w:sz="0" w:space="0" w:color="auto"/>
            <w:left w:val="none" w:sz="0" w:space="0" w:color="auto"/>
            <w:bottom w:val="none" w:sz="0" w:space="0" w:color="auto"/>
            <w:right w:val="none" w:sz="0" w:space="0" w:color="auto"/>
          </w:divBdr>
        </w:div>
        <w:div w:id="191497336">
          <w:marLeft w:val="1080"/>
          <w:marRight w:val="0"/>
          <w:marTop w:val="100"/>
          <w:marBottom w:val="0"/>
          <w:divBdr>
            <w:top w:val="none" w:sz="0" w:space="0" w:color="auto"/>
            <w:left w:val="none" w:sz="0" w:space="0" w:color="auto"/>
            <w:bottom w:val="none" w:sz="0" w:space="0" w:color="auto"/>
            <w:right w:val="none" w:sz="0" w:space="0" w:color="auto"/>
          </w:divBdr>
        </w:div>
        <w:div w:id="1495534030">
          <w:marLeft w:val="1080"/>
          <w:marRight w:val="0"/>
          <w:marTop w:val="100"/>
          <w:marBottom w:val="0"/>
          <w:divBdr>
            <w:top w:val="none" w:sz="0" w:space="0" w:color="auto"/>
            <w:left w:val="none" w:sz="0" w:space="0" w:color="auto"/>
            <w:bottom w:val="none" w:sz="0" w:space="0" w:color="auto"/>
            <w:right w:val="none" w:sz="0" w:space="0" w:color="auto"/>
          </w:divBdr>
        </w:div>
        <w:div w:id="1201549101">
          <w:marLeft w:val="1080"/>
          <w:marRight w:val="0"/>
          <w:marTop w:val="100"/>
          <w:marBottom w:val="0"/>
          <w:divBdr>
            <w:top w:val="none" w:sz="0" w:space="0" w:color="auto"/>
            <w:left w:val="none" w:sz="0" w:space="0" w:color="auto"/>
            <w:bottom w:val="none" w:sz="0" w:space="0" w:color="auto"/>
            <w:right w:val="none" w:sz="0" w:space="0" w:color="auto"/>
          </w:divBdr>
        </w:div>
        <w:div w:id="1379279607">
          <w:marLeft w:val="360"/>
          <w:marRight w:val="0"/>
          <w:marTop w:val="200"/>
          <w:marBottom w:val="0"/>
          <w:divBdr>
            <w:top w:val="none" w:sz="0" w:space="0" w:color="auto"/>
            <w:left w:val="none" w:sz="0" w:space="0" w:color="auto"/>
            <w:bottom w:val="none" w:sz="0" w:space="0" w:color="auto"/>
            <w:right w:val="none" w:sz="0" w:space="0" w:color="auto"/>
          </w:divBdr>
        </w:div>
        <w:div w:id="1377854902">
          <w:marLeft w:val="1080"/>
          <w:marRight w:val="0"/>
          <w:marTop w:val="100"/>
          <w:marBottom w:val="0"/>
          <w:divBdr>
            <w:top w:val="none" w:sz="0" w:space="0" w:color="auto"/>
            <w:left w:val="none" w:sz="0" w:space="0" w:color="auto"/>
            <w:bottom w:val="none" w:sz="0" w:space="0" w:color="auto"/>
            <w:right w:val="none" w:sz="0" w:space="0" w:color="auto"/>
          </w:divBdr>
        </w:div>
        <w:div w:id="108745229">
          <w:marLeft w:val="1080"/>
          <w:marRight w:val="0"/>
          <w:marTop w:val="100"/>
          <w:marBottom w:val="0"/>
          <w:divBdr>
            <w:top w:val="none" w:sz="0" w:space="0" w:color="auto"/>
            <w:left w:val="none" w:sz="0" w:space="0" w:color="auto"/>
            <w:bottom w:val="none" w:sz="0" w:space="0" w:color="auto"/>
            <w:right w:val="none" w:sz="0" w:space="0" w:color="auto"/>
          </w:divBdr>
        </w:div>
      </w:divsChild>
    </w:div>
    <w:div w:id="1376659329">
      <w:bodyDiv w:val="1"/>
      <w:marLeft w:val="0"/>
      <w:marRight w:val="0"/>
      <w:marTop w:val="0"/>
      <w:marBottom w:val="0"/>
      <w:divBdr>
        <w:top w:val="none" w:sz="0" w:space="0" w:color="auto"/>
        <w:left w:val="none" w:sz="0" w:space="0" w:color="auto"/>
        <w:bottom w:val="none" w:sz="0" w:space="0" w:color="auto"/>
        <w:right w:val="none" w:sz="0" w:space="0" w:color="auto"/>
      </w:divBdr>
      <w:divsChild>
        <w:div w:id="1230653538">
          <w:marLeft w:val="360"/>
          <w:marRight w:val="0"/>
          <w:marTop w:val="200"/>
          <w:marBottom w:val="0"/>
          <w:divBdr>
            <w:top w:val="none" w:sz="0" w:space="0" w:color="auto"/>
            <w:left w:val="none" w:sz="0" w:space="0" w:color="auto"/>
            <w:bottom w:val="none" w:sz="0" w:space="0" w:color="auto"/>
            <w:right w:val="none" w:sz="0" w:space="0" w:color="auto"/>
          </w:divBdr>
        </w:div>
        <w:div w:id="1673755440">
          <w:marLeft w:val="1080"/>
          <w:marRight w:val="0"/>
          <w:marTop w:val="100"/>
          <w:marBottom w:val="0"/>
          <w:divBdr>
            <w:top w:val="none" w:sz="0" w:space="0" w:color="auto"/>
            <w:left w:val="none" w:sz="0" w:space="0" w:color="auto"/>
            <w:bottom w:val="none" w:sz="0" w:space="0" w:color="auto"/>
            <w:right w:val="none" w:sz="0" w:space="0" w:color="auto"/>
          </w:divBdr>
        </w:div>
        <w:div w:id="180516894">
          <w:marLeft w:val="360"/>
          <w:marRight w:val="0"/>
          <w:marTop w:val="200"/>
          <w:marBottom w:val="0"/>
          <w:divBdr>
            <w:top w:val="none" w:sz="0" w:space="0" w:color="auto"/>
            <w:left w:val="none" w:sz="0" w:space="0" w:color="auto"/>
            <w:bottom w:val="none" w:sz="0" w:space="0" w:color="auto"/>
            <w:right w:val="none" w:sz="0" w:space="0" w:color="auto"/>
          </w:divBdr>
        </w:div>
        <w:div w:id="2007512433">
          <w:marLeft w:val="1080"/>
          <w:marRight w:val="0"/>
          <w:marTop w:val="100"/>
          <w:marBottom w:val="0"/>
          <w:divBdr>
            <w:top w:val="none" w:sz="0" w:space="0" w:color="auto"/>
            <w:left w:val="none" w:sz="0" w:space="0" w:color="auto"/>
            <w:bottom w:val="none" w:sz="0" w:space="0" w:color="auto"/>
            <w:right w:val="none" w:sz="0" w:space="0" w:color="auto"/>
          </w:divBdr>
        </w:div>
        <w:div w:id="442458304">
          <w:marLeft w:val="1080"/>
          <w:marRight w:val="0"/>
          <w:marTop w:val="100"/>
          <w:marBottom w:val="0"/>
          <w:divBdr>
            <w:top w:val="none" w:sz="0" w:space="0" w:color="auto"/>
            <w:left w:val="none" w:sz="0" w:space="0" w:color="auto"/>
            <w:bottom w:val="none" w:sz="0" w:space="0" w:color="auto"/>
            <w:right w:val="none" w:sz="0" w:space="0" w:color="auto"/>
          </w:divBdr>
        </w:div>
      </w:divsChild>
    </w:div>
    <w:div w:id="1496414491">
      <w:bodyDiv w:val="1"/>
      <w:marLeft w:val="0"/>
      <w:marRight w:val="0"/>
      <w:marTop w:val="0"/>
      <w:marBottom w:val="0"/>
      <w:divBdr>
        <w:top w:val="none" w:sz="0" w:space="0" w:color="auto"/>
        <w:left w:val="none" w:sz="0" w:space="0" w:color="auto"/>
        <w:bottom w:val="none" w:sz="0" w:space="0" w:color="auto"/>
        <w:right w:val="none" w:sz="0" w:space="0" w:color="auto"/>
      </w:divBdr>
    </w:div>
    <w:div w:id="1504475038">
      <w:bodyDiv w:val="1"/>
      <w:marLeft w:val="0"/>
      <w:marRight w:val="0"/>
      <w:marTop w:val="0"/>
      <w:marBottom w:val="0"/>
      <w:divBdr>
        <w:top w:val="none" w:sz="0" w:space="0" w:color="auto"/>
        <w:left w:val="none" w:sz="0" w:space="0" w:color="auto"/>
        <w:bottom w:val="none" w:sz="0" w:space="0" w:color="auto"/>
        <w:right w:val="none" w:sz="0" w:space="0" w:color="auto"/>
      </w:divBdr>
      <w:divsChild>
        <w:div w:id="75736204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s.nl/en-gb/background/2020/04/monetary-valuation-of-ecosystem-services-for-the-netherlands" TargetMode="External"/><Relationship Id="rId18" Type="http://schemas.openxmlformats.org/officeDocument/2006/relationships/hyperlink" Target="https://www.cbs.nl/en-gb/background/2020/04/monetary-valuation-of-ecosystem-services-for-the-netherlands"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seea.un.org/sites/seea.un.org/files/documents/EEA/seea_eea_dp3.2_es_treatments_feb2020.pdf" TargetMode="External"/><Relationship Id="rId20" Type="http://schemas.openxmlformats.org/officeDocument/2006/relationships/hyperlink" Target="https://www.ons.gov.uk/economy/environmentalaccounts/datasets/uknaturalcapitalaccountssupplementary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seea.un.org/sites/seea.un.org/files/gep-_qinghai_case_pnas_final_submission_20200117_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s.gov.uk/economy/environmentalaccounts/datasets/uknaturalcapitalaccountssupplementaryinform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1" ma:contentTypeDescription="Create a new document." ma:contentTypeScope="" ma:versionID="872df8115e1381311d32ab6c3c8dd6f6">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ade7c721a413e86b5094a3333cd0507c"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99831-1756-4ACB-9B63-352535B0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CAFA6-402D-4612-A0C8-BE686DF7797A}">
  <ds:schemaRefs>
    <ds:schemaRef ds:uri="http://schemas.microsoft.com/sharepoint/v3/contenttype/forms"/>
  </ds:schemaRefs>
</ds:datastoreItem>
</file>

<file path=customXml/itemProps3.xml><?xml version="1.0" encoding="utf-8"?>
<ds:datastoreItem xmlns:ds="http://schemas.openxmlformats.org/officeDocument/2006/customXml" ds:itemID="{FEA5D40F-C587-4736-95B0-8D3901B500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Chow</dc:creator>
  <cp:keywords/>
  <dc:description/>
  <cp:lastModifiedBy>Julian Chow</cp:lastModifiedBy>
  <cp:revision>201</cp:revision>
  <dcterms:created xsi:type="dcterms:W3CDTF">2020-01-08T18:12:00Z</dcterms:created>
  <dcterms:modified xsi:type="dcterms:W3CDTF">2020-04-14T18:44:00Z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