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69" w:rsidRDefault="00490769">
      <w:bookmarkStart w:id="0" w:name="_GoBack"/>
      <w:bookmarkEnd w:id="0"/>
    </w:p>
    <w:p w:rsidR="00490769" w:rsidRDefault="00490769"/>
    <w:p w:rsidR="00490769" w:rsidRDefault="00490769"/>
    <w:p w:rsidR="00490769" w:rsidRDefault="00490769"/>
    <w:p w:rsidR="00490769" w:rsidRPr="00490769" w:rsidRDefault="00490769">
      <w:pPr>
        <w:rPr>
          <w:lang w:val="en-US"/>
        </w:rPr>
      </w:pPr>
    </w:p>
    <w:p w:rsidR="00490769" w:rsidRDefault="00490769">
      <w:pPr>
        <w:rPr>
          <w:lang w:val="en-US"/>
        </w:rPr>
      </w:pPr>
    </w:p>
    <w:p w:rsidR="00490769" w:rsidRDefault="00490769">
      <w:pPr>
        <w:rPr>
          <w:lang w:val="en-US"/>
        </w:rPr>
      </w:pPr>
    </w:p>
    <w:p w:rsidR="00490769" w:rsidRDefault="00490769">
      <w:pPr>
        <w:rPr>
          <w:lang w:val="en-US"/>
        </w:rPr>
      </w:pPr>
    </w:p>
    <w:p w:rsidR="00E8770F" w:rsidRDefault="00E8770F">
      <w:pPr>
        <w:rPr>
          <w:lang w:val="en-US"/>
        </w:rPr>
      </w:pPr>
    </w:p>
    <w:p w:rsidR="00E8770F" w:rsidRDefault="00E8770F">
      <w:pPr>
        <w:rPr>
          <w:lang w:val="en-US"/>
        </w:rPr>
      </w:pPr>
    </w:p>
    <w:p w:rsidR="00490769" w:rsidRDefault="00490769" w:rsidP="0030595D">
      <w:pPr>
        <w:rPr>
          <w:lang w:val="en-US"/>
        </w:rPr>
      </w:pPr>
    </w:p>
    <w:p w:rsidR="00490769" w:rsidRPr="00490769" w:rsidRDefault="00490769">
      <w:pPr>
        <w:rPr>
          <w:lang w:val="en-US"/>
        </w:rPr>
      </w:pPr>
    </w:p>
    <w:p w:rsidR="00490769" w:rsidRPr="00490769" w:rsidRDefault="00490769">
      <w:pPr>
        <w:rPr>
          <w:lang w:val="en-US"/>
        </w:rPr>
      </w:pPr>
    </w:p>
    <w:p w:rsidR="00490769" w:rsidRPr="00490769" w:rsidRDefault="007F4880" w:rsidP="00490769">
      <w:pPr>
        <w:jc w:val="center"/>
        <w:rPr>
          <w:b/>
          <w:bCs/>
          <w:sz w:val="40"/>
          <w:szCs w:val="36"/>
          <w:lang w:val="en-US"/>
        </w:rPr>
      </w:pPr>
      <w:r>
        <w:rPr>
          <w:b/>
          <w:bCs/>
          <w:sz w:val="40"/>
          <w:szCs w:val="36"/>
          <w:lang w:val="en-US"/>
        </w:rPr>
        <w:t xml:space="preserve">The </w:t>
      </w:r>
      <w:r w:rsidR="0012604C">
        <w:rPr>
          <w:b/>
          <w:bCs/>
          <w:sz w:val="40"/>
          <w:szCs w:val="36"/>
          <w:lang w:val="en-US"/>
        </w:rPr>
        <w:t>Unu</w:t>
      </w:r>
      <w:r w:rsidR="00307712">
        <w:rPr>
          <w:b/>
          <w:bCs/>
          <w:sz w:val="40"/>
          <w:szCs w:val="36"/>
          <w:lang w:val="en-US"/>
        </w:rPr>
        <w:t>-</w:t>
      </w:r>
      <w:r>
        <w:rPr>
          <w:b/>
          <w:bCs/>
          <w:sz w:val="40"/>
          <w:szCs w:val="36"/>
          <w:lang w:val="en-US"/>
        </w:rPr>
        <w:t>Water</w:t>
      </w:r>
      <w:r w:rsidR="00E8770F">
        <w:rPr>
          <w:b/>
          <w:bCs/>
          <w:sz w:val="40"/>
          <w:szCs w:val="36"/>
          <w:lang w:val="en-US"/>
        </w:rPr>
        <w:t xml:space="preserve"> </w:t>
      </w:r>
      <w:r w:rsidR="00490769" w:rsidRPr="00490769">
        <w:rPr>
          <w:b/>
          <w:bCs/>
          <w:sz w:val="40"/>
          <w:szCs w:val="36"/>
          <w:lang w:val="en-US"/>
        </w:rPr>
        <w:t>Exercise</w:t>
      </w:r>
    </w:p>
    <w:p w:rsidR="00490769" w:rsidRPr="00490769" w:rsidRDefault="00490769">
      <w:pPr>
        <w:rPr>
          <w:lang w:val="en-US"/>
        </w:rPr>
      </w:pPr>
    </w:p>
    <w:p w:rsidR="00490769" w:rsidRDefault="00490769">
      <w:pPr>
        <w:rPr>
          <w:lang w:val="en-US"/>
        </w:rPr>
      </w:pPr>
    </w:p>
    <w:p w:rsidR="00490769" w:rsidRDefault="00490769">
      <w:pPr>
        <w:rPr>
          <w:lang w:val="en-US"/>
        </w:rPr>
      </w:pPr>
    </w:p>
    <w:p w:rsidR="00490769" w:rsidRDefault="00490769">
      <w:pPr>
        <w:rPr>
          <w:lang w:val="en-US"/>
        </w:rPr>
      </w:pPr>
    </w:p>
    <w:p w:rsidR="00490769" w:rsidRPr="00490769" w:rsidRDefault="00490769">
      <w:pPr>
        <w:rPr>
          <w:lang w:val="en-US"/>
        </w:rPr>
      </w:pPr>
    </w:p>
    <w:p w:rsidR="007D0CB6" w:rsidRDefault="007D0CB6" w:rsidP="007D0CB6">
      <w:pPr>
        <w:jc w:val="center"/>
        <w:rPr>
          <w:b/>
          <w:bCs/>
          <w:sz w:val="36"/>
          <w:szCs w:val="36"/>
          <w:lang w:val="en-US"/>
        </w:rPr>
      </w:pPr>
      <w:r>
        <w:rPr>
          <w:b/>
          <w:bCs/>
          <w:sz w:val="36"/>
          <w:szCs w:val="36"/>
          <w:lang w:val="en-US"/>
        </w:rPr>
        <w:t>A Step-by-Step</w:t>
      </w:r>
      <w:r w:rsidRPr="00490769">
        <w:rPr>
          <w:b/>
          <w:bCs/>
          <w:sz w:val="36"/>
          <w:szCs w:val="36"/>
          <w:lang w:val="en-US"/>
        </w:rPr>
        <w:t xml:space="preserve"> </w:t>
      </w:r>
    </w:p>
    <w:p w:rsidR="007D0CB6" w:rsidRPr="00490769" w:rsidRDefault="007D0CB6" w:rsidP="007D0CB6">
      <w:pPr>
        <w:jc w:val="center"/>
        <w:rPr>
          <w:b/>
          <w:bCs/>
          <w:sz w:val="36"/>
          <w:szCs w:val="36"/>
          <w:lang w:val="en-US"/>
        </w:rPr>
      </w:pPr>
      <w:r w:rsidRPr="00490769">
        <w:rPr>
          <w:b/>
          <w:bCs/>
          <w:sz w:val="36"/>
          <w:szCs w:val="36"/>
          <w:lang w:val="en-US"/>
        </w:rPr>
        <w:t xml:space="preserve">Introduction to </w:t>
      </w:r>
    </w:p>
    <w:p w:rsidR="007D0CB6" w:rsidRPr="00490769" w:rsidRDefault="007D0CB6" w:rsidP="007D0CB6">
      <w:pPr>
        <w:jc w:val="center"/>
        <w:rPr>
          <w:b/>
          <w:bCs/>
          <w:sz w:val="36"/>
          <w:szCs w:val="36"/>
          <w:lang w:val="en-US"/>
        </w:rPr>
      </w:pPr>
      <w:r w:rsidRPr="00490769">
        <w:rPr>
          <w:b/>
          <w:bCs/>
          <w:sz w:val="36"/>
          <w:szCs w:val="36"/>
          <w:lang w:val="en-US"/>
        </w:rPr>
        <w:t>Environmental –Economic Accounts</w:t>
      </w:r>
    </w:p>
    <w:p w:rsidR="007D0CB6" w:rsidRPr="00490769" w:rsidRDefault="007D0CB6" w:rsidP="007D0CB6">
      <w:pPr>
        <w:jc w:val="center"/>
        <w:rPr>
          <w:b/>
          <w:bCs/>
          <w:sz w:val="36"/>
          <w:szCs w:val="36"/>
          <w:lang w:val="en-US"/>
        </w:rPr>
      </w:pPr>
      <w:r w:rsidRPr="00490769">
        <w:rPr>
          <w:b/>
          <w:bCs/>
          <w:sz w:val="36"/>
          <w:szCs w:val="36"/>
          <w:lang w:val="en-US"/>
        </w:rPr>
        <w:t>for Water</w:t>
      </w:r>
    </w:p>
    <w:p w:rsidR="007D0CB6" w:rsidRPr="00490769" w:rsidRDefault="007D0CB6" w:rsidP="007D0CB6">
      <w:pPr>
        <w:jc w:val="center"/>
        <w:rPr>
          <w:b/>
          <w:bCs/>
          <w:sz w:val="36"/>
          <w:szCs w:val="36"/>
          <w:lang w:val="en-US"/>
        </w:rPr>
      </w:pPr>
      <w:r w:rsidRPr="00490769">
        <w:rPr>
          <w:b/>
          <w:bCs/>
          <w:sz w:val="36"/>
          <w:szCs w:val="36"/>
          <w:lang w:val="en-US"/>
        </w:rPr>
        <w:t>(SEEA-Water)</w:t>
      </w:r>
    </w:p>
    <w:p w:rsidR="00490769" w:rsidRPr="00490769" w:rsidRDefault="00490769" w:rsidP="00490769">
      <w:pPr>
        <w:jc w:val="center"/>
        <w:rPr>
          <w:b/>
          <w:bCs/>
          <w:sz w:val="36"/>
          <w:szCs w:val="36"/>
          <w:lang w:val="en-US"/>
        </w:rPr>
      </w:pPr>
    </w:p>
    <w:p w:rsidR="00490769" w:rsidRDefault="00490769" w:rsidP="00490769">
      <w:pPr>
        <w:jc w:val="center"/>
        <w:rPr>
          <w:b/>
          <w:bCs/>
          <w:sz w:val="40"/>
          <w:szCs w:val="40"/>
          <w:lang w:val="en-US"/>
        </w:rPr>
      </w:pPr>
    </w:p>
    <w:p w:rsidR="00490769" w:rsidRDefault="009101A1" w:rsidP="00490769">
      <w:pPr>
        <w:jc w:val="center"/>
        <w:rPr>
          <w:b/>
          <w:bCs/>
          <w:sz w:val="40"/>
          <w:szCs w:val="40"/>
          <w:lang w:val="en-US"/>
        </w:rPr>
      </w:pPr>
      <w:r>
        <w:rPr>
          <w:b/>
          <w:bCs/>
          <w:sz w:val="40"/>
          <w:szCs w:val="40"/>
          <w:lang w:val="en-US"/>
        </w:rPr>
        <w:t>Solution Booklet</w:t>
      </w: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Default="00233E82" w:rsidP="00490769">
      <w:pPr>
        <w:jc w:val="right"/>
        <w:rPr>
          <w:lang w:val="en-US"/>
        </w:rPr>
      </w:pPr>
    </w:p>
    <w:p w:rsidR="00233E82" w:rsidRPr="00DD7775" w:rsidRDefault="00233E82" w:rsidP="00490769">
      <w:pPr>
        <w:jc w:val="right"/>
        <w:rPr>
          <w:sz w:val="22"/>
          <w:lang w:val="en-US"/>
        </w:rPr>
      </w:pPr>
    </w:p>
    <w:p w:rsidR="00233E82" w:rsidRPr="00DD7775" w:rsidRDefault="00233E82" w:rsidP="00490769">
      <w:pPr>
        <w:jc w:val="right"/>
        <w:rPr>
          <w:sz w:val="22"/>
          <w:lang w:val="en-US"/>
        </w:rPr>
      </w:pPr>
    </w:p>
    <w:p w:rsidR="00490769" w:rsidRPr="00DD7775" w:rsidRDefault="00964D14" w:rsidP="00490769">
      <w:pPr>
        <w:jc w:val="right"/>
        <w:rPr>
          <w:sz w:val="22"/>
          <w:lang w:val="en-US"/>
        </w:rPr>
      </w:pPr>
      <w:r>
        <w:rPr>
          <w:sz w:val="22"/>
          <w:lang w:val="en-US"/>
        </w:rPr>
        <w:t>20</w:t>
      </w:r>
      <w:r w:rsidR="001B5B7B">
        <w:rPr>
          <w:sz w:val="22"/>
          <w:lang w:val="en-US"/>
        </w:rPr>
        <w:t xml:space="preserve"> June</w:t>
      </w:r>
      <w:r w:rsidR="001D5D9C" w:rsidRPr="00DD7775">
        <w:rPr>
          <w:sz w:val="22"/>
          <w:lang w:val="en-US"/>
        </w:rPr>
        <w:t xml:space="preserve"> 2014</w:t>
      </w:r>
    </w:p>
    <w:p w:rsidR="00AA5968" w:rsidRDefault="00F07D41" w:rsidP="00490769">
      <w:pPr>
        <w:jc w:val="right"/>
        <w:rPr>
          <w:sz w:val="22"/>
          <w:lang w:val="en-US"/>
        </w:rPr>
      </w:pPr>
      <w:r>
        <w:rPr>
          <w:sz w:val="22"/>
          <w:lang w:val="en-US"/>
        </w:rPr>
        <w:t>Rev 3</w:t>
      </w:r>
      <w:r w:rsidR="00A427D6">
        <w:rPr>
          <w:sz w:val="22"/>
          <w:lang w:val="en-US"/>
        </w:rPr>
        <w:t>5</w:t>
      </w:r>
      <w:r w:rsidR="00AA5968">
        <w:rPr>
          <w:sz w:val="22"/>
          <w:lang w:val="en-US"/>
        </w:rPr>
        <w:t xml:space="preserve"> </w:t>
      </w:r>
    </w:p>
    <w:p w:rsidR="00ED5A65" w:rsidRPr="00DD7775" w:rsidRDefault="00AA5968" w:rsidP="00490769">
      <w:pPr>
        <w:jc w:val="right"/>
        <w:rPr>
          <w:sz w:val="22"/>
          <w:lang w:val="en-US"/>
        </w:rPr>
      </w:pPr>
      <w:r>
        <w:rPr>
          <w:sz w:val="22"/>
          <w:lang w:val="en-US"/>
        </w:rPr>
        <w:t>(translation was done with version 26)</w:t>
      </w:r>
    </w:p>
    <w:p w:rsidR="005E187B" w:rsidRPr="001F0B7B" w:rsidRDefault="00490769" w:rsidP="005E187B">
      <w:pPr>
        <w:rPr>
          <w:b/>
          <w:sz w:val="36"/>
          <w:lang w:val="en-US"/>
        </w:rPr>
      </w:pPr>
      <w:r w:rsidRPr="00DD7775">
        <w:rPr>
          <w:sz w:val="22"/>
          <w:lang w:val="en-US"/>
        </w:rPr>
        <w:br w:type="page"/>
      </w:r>
      <w:r w:rsidR="005E187B" w:rsidRPr="001F0B7B">
        <w:rPr>
          <w:b/>
          <w:sz w:val="36"/>
          <w:lang w:val="en-US"/>
        </w:rPr>
        <w:lastRenderedPageBreak/>
        <w:t xml:space="preserve">Water in </w:t>
      </w:r>
      <w:r w:rsidR="0012604C" w:rsidRPr="001F0B7B">
        <w:rPr>
          <w:b/>
          <w:sz w:val="36"/>
          <w:lang w:val="en-US"/>
        </w:rPr>
        <w:t>Unu</w:t>
      </w:r>
    </w:p>
    <w:p w:rsidR="005E187B" w:rsidRDefault="005E187B" w:rsidP="005E187B">
      <w:pPr>
        <w:rPr>
          <w:b/>
          <w:sz w:val="28"/>
          <w:lang w:val="en-US"/>
        </w:rPr>
      </w:pPr>
    </w:p>
    <w:p w:rsidR="00307712" w:rsidRDefault="00B50367" w:rsidP="005E187B">
      <w:pPr>
        <w:rPr>
          <w:b/>
          <w:sz w:val="28"/>
          <w:lang w:val="en-US"/>
        </w:rPr>
      </w:pPr>
      <w:r>
        <w:rPr>
          <w:b/>
          <w:sz w:val="28"/>
          <w:lang w:val="en-US"/>
        </w:rPr>
        <w:t>Module</w:t>
      </w:r>
      <w:r w:rsidR="00307712">
        <w:rPr>
          <w:b/>
          <w:sz w:val="28"/>
          <w:lang w:val="en-US"/>
        </w:rPr>
        <w:t xml:space="preserve"> I:  </w:t>
      </w:r>
      <w:r w:rsidR="00D45B5D">
        <w:rPr>
          <w:b/>
          <w:sz w:val="28"/>
          <w:lang w:val="en-US"/>
        </w:rPr>
        <w:t xml:space="preserve">Basic understanding of the water cycle in the economy </w:t>
      </w:r>
    </w:p>
    <w:p w:rsidR="007F1624" w:rsidRDefault="007F1624" w:rsidP="005E187B">
      <w:pP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7F1624" w:rsidRPr="007B577C" w:rsidTr="007B577C">
        <w:tc>
          <w:tcPr>
            <w:tcW w:w="9936" w:type="dxa"/>
            <w:shd w:val="clear" w:color="auto" w:fill="auto"/>
          </w:tcPr>
          <w:p w:rsidR="007F1624" w:rsidRPr="007B577C" w:rsidRDefault="007F1624" w:rsidP="007B577C">
            <w:pPr>
              <w:ind w:right="224"/>
              <w:rPr>
                <w:lang w:val="en-US"/>
              </w:rPr>
            </w:pPr>
          </w:p>
          <w:p w:rsidR="008E3C42" w:rsidRPr="00C65A6D" w:rsidRDefault="008E3C42" w:rsidP="008E3C42">
            <w:pPr>
              <w:numPr>
                <w:ilvl w:val="0"/>
                <w:numId w:val="1"/>
              </w:numPr>
              <w:ind w:right="224"/>
              <w:rPr>
                <w:sz w:val="22"/>
                <w:lang w:val="en-US"/>
              </w:rPr>
            </w:pPr>
            <w:r w:rsidRPr="00C65A6D">
              <w:rPr>
                <w:sz w:val="22"/>
                <w:lang w:val="en-US"/>
              </w:rPr>
              <w:t>Review the following standard concepts from the System of Environmental Accounts Central Framework (SEEA-CF):</w:t>
            </w:r>
            <w:r>
              <w:rPr>
                <w:sz w:val="22"/>
                <w:lang w:val="en-US"/>
              </w:rPr>
              <w:t xml:space="preserve"> Abstraction, F</w:t>
            </w:r>
            <w:r w:rsidRPr="00C65A6D">
              <w:rPr>
                <w:sz w:val="22"/>
                <w:lang w:val="en-US"/>
              </w:rPr>
              <w:t xml:space="preserve">inal </w:t>
            </w:r>
            <w:r>
              <w:rPr>
                <w:sz w:val="22"/>
                <w:lang w:val="en-US"/>
              </w:rPr>
              <w:t>W</w:t>
            </w:r>
            <w:r w:rsidRPr="00C65A6D">
              <w:rPr>
                <w:sz w:val="22"/>
                <w:lang w:val="en-US"/>
              </w:rPr>
              <w:t xml:space="preserve">ater </w:t>
            </w:r>
            <w:r>
              <w:rPr>
                <w:sz w:val="22"/>
                <w:lang w:val="en-US"/>
              </w:rPr>
              <w:t>Use, and R</w:t>
            </w:r>
            <w:r w:rsidRPr="00C65A6D">
              <w:rPr>
                <w:sz w:val="22"/>
                <w:lang w:val="en-US"/>
              </w:rPr>
              <w:t xml:space="preserve">eturn. </w:t>
            </w:r>
          </w:p>
          <w:p w:rsidR="007F1624" w:rsidRPr="007B577C" w:rsidRDefault="007F1624" w:rsidP="00AF35C6">
            <w:pPr>
              <w:ind w:left="720" w:right="224"/>
              <w:rPr>
                <w:b/>
                <w:sz w:val="28"/>
                <w:lang w:val="en-US"/>
              </w:rPr>
            </w:pPr>
          </w:p>
        </w:tc>
      </w:tr>
    </w:tbl>
    <w:p w:rsidR="007F1624" w:rsidRDefault="007F1624" w:rsidP="005E187B">
      <w:pPr>
        <w:rPr>
          <w:b/>
          <w:sz w:val="28"/>
          <w:lang w:val="en-US"/>
        </w:rPr>
      </w:pPr>
    </w:p>
    <w:p w:rsidR="0008643E" w:rsidRPr="00AF35C6" w:rsidRDefault="0008643E" w:rsidP="005E187B">
      <w:pPr>
        <w:rPr>
          <w:b/>
          <w:lang w:val="en-US"/>
        </w:rPr>
      </w:pPr>
    </w:p>
    <w:p w:rsidR="0008643E" w:rsidRPr="00AF35C6" w:rsidRDefault="0008643E" w:rsidP="0008643E">
      <w:pPr>
        <w:jc w:val="both"/>
        <w:rPr>
          <w:sz w:val="22"/>
          <w:lang w:val="en-US"/>
        </w:rPr>
      </w:pPr>
      <w:r w:rsidRPr="00AF35C6">
        <w:rPr>
          <w:sz w:val="22"/>
          <w:lang w:val="en-US"/>
        </w:rPr>
        <w:t xml:space="preserve">The following are the standard definitions provided in the System of Environmental-Economic Accounting, Central Framework (SEEA-CF).  The specific paragraphs </w:t>
      </w:r>
      <w:r w:rsidR="00532B7A">
        <w:rPr>
          <w:sz w:val="22"/>
          <w:lang w:val="en-US"/>
        </w:rPr>
        <w:t xml:space="preserve">in the SEEA-CF, where the definitions can be found, </w:t>
      </w:r>
      <w:r w:rsidRPr="00AF35C6">
        <w:rPr>
          <w:sz w:val="22"/>
          <w:lang w:val="en-US"/>
        </w:rPr>
        <w:t xml:space="preserve">are provided in parenthesis:  </w:t>
      </w:r>
    </w:p>
    <w:p w:rsidR="0008643E" w:rsidRPr="00AF35C6" w:rsidRDefault="0008643E" w:rsidP="005E187B">
      <w:pPr>
        <w:rPr>
          <w:lang w:val="en-US"/>
        </w:rPr>
      </w:pPr>
    </w:p>
    <w:tbl>
      <w:tblPr>
        <w:tblW w:w="9720" w:type="dxa"/>
        <w:tblInd w:w="108" w:type="dxa"/>
        <w:tblLook w:val="01E0" w:firstRow="1" w:lastRow="1" w:firstColumn="1" w:lastColumn="1" w:noHBand="0" w:noVBand="0"/>
      </w:tblPr>
      <w:tblGrid>
        <w:gridCol w:w="1897"/>
        <w:gridCol w:w="7823"/>
      </w:tblGrid>
      <w:tr w:rsidR="0008643E" w:rsidRPr="00AF35C6" w:rsidTr="007F1624">
        <w:trPr>
          <w:cantSplit/>
        </w:trPr>
        <w:tc>
          <w:tcPr>
            <w:tcW w:w="1897" w:type="dxa"/>
            <w:shd w:val="clear" w:color="auto" w:fill="auto"/>
          </w:tcPr>
          <w:p w:rsidR="0008643E" w:rsidRPr="00AF35C6" w:rsidRDefault="0008643E" w:rsidP="003B2F62">
            <w:pPr>
              <w:rPr>
                <w:sz w:val="22"/>
                <w:lang w:val="en-US"/>
              </w:rPr>
            </w:pPr>
            <w:r w:rsidRPr="00AF35C6">
              <w:rPr>
                <w:sz w:val="22"/>
                <w:lang w:val="en-US"/>
              </w:rPr>
              <w:t>Abstraction</w:t>
            </w:r>
          </w:p>
        </w:tc>
        <w:tc>
          <w:tcPr>
            <w:tcW w:w="7823" w:type="dxa"/>
            <w:shd w:val="clear" w:color="auto" w:fill="auto"/>
          </w:tcPr>
          <w:p w:rsidR="00C80991" w:rsidRDefault="0008643E" w:rsidP="003B2F62">
            <w:pPr>
              <w:autoSpaceDE w:val="0"/>
              <w:autoSpaceDN w:val="0"/>
              <w:adjustRightInd w:val="0"/>
              <w:rPr>
                <w:sz w:val="22"/>
                <w:lang w:val="en-US"/>
              </w:rPr>
            </w:pPr>
            <w:r w:rsidRPr="00AF35C6">
              <w:rPr>
                <w:sz w:val="22"/>
                <w:lang w:val="en-US"/>
              </w:rPr>
              <w:t xml:space="preserve">Abstraction is defined as the amount of water that is removed from any source, either permanently or temporarily, in a given period of time. </w:t>
            </w:r>
          </w:p>
          <w:p w:rsidR="0008643E" w:rsidRPr="00AF35C6" w:rsidRDefault="0008643E" w:rsidP="003B2F62">
            <w:pPr>
              <w:autoSpaceDE w:val="0"/>
              <w:autoSpaceDN w:val="0"/>
              <w:adjustRightInd w:val="0"/>
              <w:rPr>
                <w:sz w:val="22"/>
                <w:lang w:val="en-US"/>
              </w:rPr>
            </w:pPr>
            <w:r w:rsidRPr="00AF35C6">
              <w:rPr>
                <w:sz w:val="22"/>
                <w:lang w:val="en-US"/>
              </w:rPr>
              <w:t>Water used for hydroelectric power generation, is considered as abstraction and is recorded as a use of water by the abstractor. Water abstracted but not used in production, such as water flows in mine de-watering, are recorded as natural resource residuals. Water abstraction is disaggregated by source and by industry. (SEEA</w:t>
            </w:r>
            <w:r w:rsidR="009557B4" w:rsidRPr="00AF35C6">
              <w:rPr>
                <w:sz w:val="22"/>
                <w:lang w:val="en-US"/>
              </w:rPr>
              <w:t>-CF</w:t>
            </w:r>
            <w:r w:rsidRPr="00AF35C6">
              <w:rPr>
                <w:sz w:val="22"/>
                <w:lang w:val="en-US"/>
              </w:rPr>
              <w:t xml:space="preserve"> 3.195)</w:t>
            </w:r>
          </w:p>
        </w:tc>
      </w:tr>
      <w:tr w:rsidR="0008643E" w:rsidRPr="00AF35C6" w:rsidTr="007F1624">
        <w:trPr>
          <w:cantSplit/>
        </w:trPr>
        <w:tc>
          <w:tcPr>
            <w:tcW w:w="1897" w:type="dxa"/>
            <w:shd w:val="clear" w:color="auto" w:fill="auto"/>
          </w:tcPr>
          <w:p w:rsidR="00C759BA" w:rsidRDefault="00C759BA" w:rsidP="003B2F62">
            <w:pPr>
              <w:rPr>
                <w:sz w:val="22"/>
                <w:lang w:val="en-US"/>
              </w:rPr>
            </w:pPr>
          </w:p>
          <w:p w:rsidR="0008643E" w:rsidRPr="00AF35C6" w:rsidRDefault="0008643E" w:rsidP="003B2F62">
            <w:pPr>
              <w:rPr>
                <w:sz w:val="22"/>
                <w:lang w:val="en-US"/>
              </w:rPr>
            </w:pPr>
            <w:r w:rsidRPr="00AF35C6">
              <w:rPr>
                <w:sz w:val="22"/>
                <w:lang w:val="en-US"/>
              </w:rPr>
              <w:t xml:space="preserve">Final </w:t>
            </w:r>
            <w:r w:rsidR="00F61B03">
              <w:rPr>
                <w:sz w:val="22"/>
                <w:lang w:val="en-US"/>
              </w:rPr>
              <w:t>W</w:t>
            </w:r>
            <w:r w:rsidR="009557B4" w:rsidRPr="00AF35C6">
              <w:rPr>
                <w:sz w:val="22"/>
                <w:lang w:val="en-US"/>
              </w:rPr>
              <w:t xml:space="preserve">ater </w:t>
            </w:r>
            <w:r w:rsidR="00F61B03">
              <w:rPr>
                <w:sz w:val="22"/>
                <w:lang w:val="en-US"/>
              </w:rPr>
              <w:t>U</w:t>
            </w:r>
            <w:r w:rsidRPr="00AF35C6">
              <w:rPr>
                <w:sz w:val="22"/>
                <w:lang w:val="en-US"/>
              </w:rPr>
              <w:t>se</w:t>
            </w:r>
          </w:p>
        </w:tc>
        <w:tc>
          <w:tcPr>
            <w:tcW w:w="7823" w:type="dxa"/>
            <w:shd w:val="clear" w:color="auto" w:fill="auto"/>
          </w:tcPr>
          <w:p w:rsidR="00C759BA" w:rsidRDefault="00C759BA" w:rsidP="003B2F62">
            <w:pPr>
              <w:autoSpaceDE w:val="0"/>
              <w:autoSpaceDN w:val="0"/>
              <w:adjustRightInd w:val="0"/>
              <w:rPr>
                <w:sz w:val="22"/>
                <w:lang w:val="en-US"/>
              </w:rPr>
            </w:pPr>
          </w:p>
          <w:p w:rsidR="0008643E" w:rsidRPr="00AF35C6" w:rsidRDefault="0008643E" w:rsidP="003B2F62">
            <w:pPr>
              <w:autoSpaceDE w:val="0"/>
              <w:autoSpaceDN w:val="0"/>
              <w:adjustRightInd w:val="0"/>
              <w:rPr>
                <w:sz w:val="22"/>
                <w:lang w:val="en-US"/>
              </w:rPr>
            </w:pPr>
            <w:r w:rsidRPr="00AF35C6">
              <w:rPr>
                <w:sz w:val="22"/>
                <w:lang w:val="en-US"/>
              </w:rPr>
              <w:t xml:space="preserve">Final </w:t>
            </w:r>
            <w:r w:rsidR="00F61B03">
              <w:rPr>
                <w:sz w:val="22"/>
                <w:lang w:val="en-US"/>
              </w:rPr>
              <w:t>W</w:t>
            </w:r>
            <w:r w:rsidRPr="00AF35C6">
              <w:rPr>
                <w:sz w:val="22"/>
                <w:lang w:val="en-US"/>
              </w:rPr>
              <w:t xml:space="preserve">ater </w:t>
            </w:r>
            <w:r w:rsidR="00F61B03">
              <w:rPr>
                <w:sz w:val="22"/>
                <w:lang w:val="en-US"/>
              </w:rPr>
              <w:t>U</w:t>
            </w:r>
            <w:r w:rsidRPr="00AF35C6">
              <w:rPr>
                <w:sz w:val="22"/>
                <w:lang w:val="en-US"/>
              </w:rPr>
              <w:t xml:space="preserve">se is equal to evaporation, transpiration and water incorporated into products. (Also </w:t>
            </w:r>
            <w:r w:rsidR="00505E07">
              <w:rPr>
                <w:sz w:val="22"/>
                <w:lang w:val="en-US"/>
              </w:rPr>
              <w:t xml:space="preserve">referred to in the SEEA-Water </w:t>
            </w:r>
            <w:r w:rsidRPr="00AF35C6">
              <w:rPr>
                <w:sz w:val="22"/>
                <w:lang w:val="en-US"/>
              </w:rPr>
              <w:t>as “water consumption”) (SEEA</w:t>
            </w:r>
            <w:r w:rsidR="009557B4" w:rsidRPr="00AF35C6">
              <w:rPr>
                <w:sz w:val="22"/>
                <w:lang w:val="en-US"/>
              </w:rPr>
              <w:t>-CF</w:t>
            </w:r>
            <w:r w:rsidRPr="00AF35C6">
              <w:rPr>
                <w:sz w:val="22"/>
                <w:lang w:val="en-US"/>
              </w:rPr>
              <w:t xml:space="preserve"> 3.222)</w:t>
            </w:r>
          </w:p>
        </w:tc>
      </w:tr>
      <w:tr w:rsidR="0008643E" w:rsidRPr="00AF35C6" w:rsidTr="007F1624">
        <w:trPr>
          <w:cantSplit/>
        </w:trPr>
        <w:tc>
          <w:tcPr>
            <w:tcW w:w="1897" w:type="dxa"/>
            <w:shd w:val="clear" w:color="auto" w:fill="auto"/>
          </w:tcPr>
          <w:p w:rsidR="00C759BA" w:rsidRDefault="00C759BA" w:rsidP="003B2F62">
            <w:pPr>
              <w:rPr>
                <w:sz w:val="22"/>
                <w:lang w:val="en-US"/>
              </w:rPr>
            </w:pPr>
          </w:p>
          <w:p w:rsidR="0008643E" w:rsidRPr="00AF35C6" w:rsidRDefault="0008643E" w:rsidP="003B2F62">
            <w:pPr>
              <w:rPr>
                <w:sz w:val="22"/>
                <w:lang w:val="en-US"/>
              </w:rPr>
            </w:pPr>
            <w:r w:rsidRPr="00AF35C6">
              <w:rPr>
                <w:sz w:val="22"/>
                <w:lang w:val="en-US"/>
              </w:rPr>
              <w:t xml:space="preserve">Return </w:t>
            </w:r>
            <w:r w:rsidR="00F61B03">
              <w:rPr>
                <w:sz w:val="22"/>
                <w:lang w:val="en-US"/>
              </w:rPr>
              <w:t>F</w:t>
            </w:r>
            <w:r w:rsidRPr="00AF35C6">
              <w:rPr>
                <w:sz w:val="22"/>
                <w:lang w:val="en-US"/>
              </w:rPr>
              <w:t xml:space="preserve">lows of </w:t>
            </w:r>
            <w:r w:rsidR="00F61B03">
              <w:rPr>
                <w:sz w:val="22"/>
                <w:lang w:val="en-US"/>
              </w:rPr>
              <w:t>W</w:t>
            </w:r>
            <w:r w:rsidRPr="00AF35C6">
              <w:rPr>
                <w:sz w:val="22"/>
                <w:lang w:val="en-US"/>
              </w:rPr>
              <w:t>ater</w:t>
            </w:r>
          </w:p>
        </w:tc>
        <w:tc>
          <w:tcPr>
            <w:tcW w:w="7823" w:type="dxa"/>
            <w:shd w:val="clear" w:color="auto" w:fill="auto"/>
          </w:tcPr>
          <w:p w:rsidR="00C759BA" w:rsidRDefault="00C759BA" w:rsidP="003B2F62">
            <w:pPr>
              <w:autoSpaceDE w:val="0"/>
              <w:autoSpaceDN w:val="0"/>
              <w:adjustRightInd w:val="0"/>
              <w:rPr>
                <w:sz w:val="22"/>
                <w:lang w:val="en-US"/>
              </w:rPr>
            </w:pPr>
          </w:p>
          <w:p w:rsidR="0008643E" w:rsidRPr="00AF35C6" w:rsidRDefault="0008643E" w:rsidP="003B2F62">
            <w:pPr>
              <w:autoSpaceDE w:val="0"/>
              <w:autoSpaceDN w:val="0"/>
              <w:adjustRightInd w:val="0"/>
              <w:rPr>
                <w:sz w:val="22"/>
                <w:lang w:val="en-US"/>
              </w:rPr>
            </w:pPr>
            <w:r w:rsidRPr="00AF35C6">
              <w:rPr>
                <w:sz w:val="22"/>
                <w:lang w:val="en-US"/>
              </w:rPr>
              <w:t>Return flows of water comprise water that is returned to the environment. (SEEA 3.210)</w:t>
            </w:r>
          </w:p>
        </w:tc>
      </w:tr>
      <w:tr w:rsidR="0008643E" w:rsidRPr="00AF35C6" w:rsidTr="007F1624">
        <w:trPr>
          <w:cantSplit/>
        </w:trPr>
        <w:tc>
          <w:tcPr>
            <w:tcW w:w="1897" w:type="dxa"/>
            <w:shd w:val="clear" w:color="auto" w:fill="auto"/>
          </w:tcPr>
          <w:p w:rsidR="0008643E" w:rsidRPr="00AF35C6" w:rsidRDefault="0008643E" w:rsidP="003B2F62">
            <w:pPr>
              <w:rPr>
                <w:sz w:val="22"/>
                <w:lang w:val="en-US"/>
              </w:rPr>
            </w:pPr>
          </w:p>
        </w:tc>
        <w:tc>
          <w:tcPr>
            <w:tcW w:w="7823" w:type="dxa"/>
            <w:shd w:val="clear" w:color="auto" w:fill="auto"/>
          </w:tcPr>
          <w:p w:rsidR="0008643E" w:rsidRPr="00AF35C6" w:rsidRDefault="0008643E" w:rsidP="003B2F62">
            <w:pPr>
              <w:autoSpaceDE w:val="0"/>
              <w:autoSpaceDN w:val="0"/>
              <w:adjustRightInd w:val="0"/>
              <w:rPr>
                <w:sz w:val="22"/>
                <w:lang w:val="en-US"/>
              </w:rPr>
            </w:pPr>
          </w:p>
        </w:tc>
      </w:tr>
    </w:tbl>
    <w:p w:rsidR="007F2427" w:rsidRDefault="007F2427" w:rsidP="005E187B">
      <w:pPr>
        <w:rPr>
          <w:b/>
          <w:lang w:val="en-US"/>
        </w:rPr>
      </w:pPr>
    </w:p>
    <w:p w:rsidR="007F2427" w:rsidRDefault="007F24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7F1624" w:rsidRPr="007B577C" w:rsidTr="007B577C">
        <w:tc>
          <w:tcPr>
            <w:tcW w:w="9936" w:type="dxa"/>
            <w:shd w:val="clear" w:color="auto" w:fill="auto"/>
          </w:tcPr>
          <w:p w:rsidR="007F1624" w:rsidRPr="007B577C" w:rsidRDefault="007F2427" w:rsidP="007B577C">
            <w:pPr>
              <w:ind w:right="224"/>
              <w:rPr>
                <w:lang w:val="en-US"/>
              </w:rPr>
            </w:pPr>
            <w:r>
              <w:rPr>
                <w:b/>
                <w:lang w:val="en-US"/>
              </w:rPr>
              <w:br w:type="page"/>
            </w:r>
          </w:p>
          <w:p w:rsidR="00AF35C6" w:rsidRPr="00C65A6D" w:rsidRDefault="00AF35C6" w:rsidP="00AF35C6">
            <w:pPr>
              <w:numPr>
                <w:ilvl w:val="0"/>
                <w:numId w:val="1"/>
              </w:numPr>
              <w:ind w:right="224"/>
              <w:rPr>
                <w:sz w:val="22"/>
                <w:lang w:val="en-US"/>
              </w:rPr>
            </w:pPr>
            <w:r w:rsidRPr="00C65A6D">
              <w:rPr>
                <w:sz w:val="22"/>
                <w:lang w:val="en-US"/>
              </w:rPr>
              <w:t xml:space="preserve">Make a diagram </w:t>
            </w:r>
            <w:r>
              <w:rPr>
                <w:sz w:val="22"/>
                <w:lang w:val="en-US"/>
              </w:rPr>
              <w:t xml:space="preserve">of all the interconnected flows of water </w:t>
            </w:r>
            <w:r w:rsidRPr="00C65A6D">
              <w:rPr>
                <w:sz w:val="22"/>
                <w:lang w:val="en-US"/>
              </w:rPr>
              <w:t xml:space="preserve">with the information provided. </w:t>
            </w:r>
            <w:r w:rsidR="00F61D74">
              <w:rPr>
                <w:sz w:val="22"/>
                <w:lang w:val="en-US"/>
              </w:rPr>
              <w:t>Use the template provided.</w:t>
            </w:r>
          </w:p>
          <w:p w:rsidR="007F1624" w:rsidRPr="007B577C" w:rsidRDefault="007F1624" w:rsidP="00AF35C6">
            <w:pPr>
              <w:ind w:left="720" w:right="224"/>
              <w:rPr>
                <w:b/>
                <w:sz w:val="28"/>
                <w:lang w:val="en-US"/>
              </w:rPr>
            </w:pPr>
          </w:p>
        </w:tc>
      </w:tr>
    </w:tbl>
    <w:p w:rsidR="007F1624" w:rsidRDefault="007F1624" w:rsidP="005E187B">
      <w:pPr>
        <w:rPr>
          <w:b/>
          <w:sz w:val="28"/>
          <w:lang w:val="en-US"/>
        </w:rPr>
      </w:pPr>
    </w:p>
    <w:p w:rsidR="00B57D69" w:rsidRPr="00AF35C6" w:rsidRDefault="00B57D69" w:rsidP="00B57D69">
      <w:pPr>
        <w:ind w:right="224"/>
        <w:rPr>
          <w:sz w:val="22"/>
          <w:lang w:val="en-US"/>
        </w:rPr>
      </w:pPr>
      <w:r w:rsidRPr="00AF35C6">
        <w:rPr>
          <w:sz w:val="22"/>
          <w:lang w:val="en-US"/>
        </w:rPr>
        <w:t>The diagram below shows all or most of the “flows” of water.  The second diagram below shows a simplification, removing some of the “flows” of water in order to simplify the diagram.</w:t>
      </w:r>
    </w:p>
    <w:p w:rsidR="00B57D69" w:rsidRPr="00AF35C6" w:rsidRDefault="00B57D69" w:rsidP="00B57D69">
      <w:pPr>
        <w:ind w:right="224"/>
        <w:rPr>
          <w:sz w:val="22"/>
          <w:lang w:val="en-US"/>
        </w:rPr>
      </w:pPr>
    </w:p>
    <w:p w:rsidR="00B57D69" w:rsidRDefault="005D2339" w:rsidP="00B57D69">
      <w:pPr>
        <w:ind w:right="224"/>
        <w:rPr>
          <w:lang w:val="en-US"/>
        </w:rPr>
      </w:pPr>
      <w:r>
        <w:rPr>
          <w:noProof/>
          <w:lang w:val="en-US"/>
        </w:rPr>
        <w:drawing>
          <wp:inline distT="0" distB="0" distL="0" distR="0">
            <wp:extent cx="6048375"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3962400"/>
                    </a:xfrm>
                    <a:prstGeom prst="rect">
                      <a:avLst/>
                    </a:prstGeom>
                    <a:noFill/>
                    <a:ln>
                      <a:noFill/>
                    </a:ln>
                  </pic:spPr>
                </pic:pic>
              </a:graphicData>
            </a:graphic>
          </wp:inline>
        </w:drawing>
      </w:r>
    </w:p>
    <w:p w:rsidR="007F2427" w:rsidRDefault="00D45B5D" w:rsidP="009101A1">
      <w:pPr>
        <w:ind w:right="224"/>
        <w:rPr>
          <w:lang w:val="en-US"/>
        </w:rPr>
      </w:pPr>
      <w:r w:rsidRPr="00AF35C6">
        <w:rPr>
          <w:sz w:val="22"/>
          <w:lang w:val="en-US"/>
        </w:rPr>
        <w:t xml:space="preserve">In the second diagram, below, </w:t>
      </w:r>
      <w:r w:rsidR="00B57D69" w:rsidRPr="00AF35C6">
        <w:rPr>
          <w:sz w:val="22"/>
          <w:lang w:val="en-US"/>
        </w:rPr>
        <w:t xml:space="preserve">some “flows” of water </w:t>
      </w:r>
      <w:r w:rsidRPr="00AF35C6">
        <w:rPr>
          <w:sz w:val="22"/>
          <w:lang w:val="en-US"/>
        </w:rPr>
        <w:t xml:space="preserve">have been </w:t>
      </w:r>
      <w:r w:rsidR="00B57D69" w:rsidRPr="00AF35C6">
        <w:rPr>
          <w:sz w:val="22"/>
          <w:lang w:val="en-US"/>
        </w:rPr>
        <w:t>removed</w:t>
      </w:r>
      <w:r w:rsidRPr="00AF35C6">
        <w:rPr>
          <w:sz w:val="22"/>
          <w:lang w:val="en-US"/>
        </w:rPr>
        <w:t xml:space="preserve"> in order to simplify the diagram</w:t>
      </w:r>
      <w:r w:rsidR="00B57D69" w:rsidRPr="00AF35C6">
        <w:rPr>
          <w:sz w:val="22"/>
          <w:lang w:val="en-US"/>
        </w:rPr>
        <w:t>.</w:t>
      </w:r>
      <w:r w:rsidR="007F2427" w:rsidRPr="007F2427">
        <w:rPr>
          <w:lang w:val="en-US"/>
        </w:rPr>
        <w:t xml:space="preserve"> </w:t>
      </w:r>
    </w:p>
    <w:p w:rsidR="007F2427" w:rsidRDefault="007F2427" w:rsidP="009101A1">
      <w:pPr>
        <w:ind w:right="224"/>
        <w:rPr>
          <w:lang w:val="en-US"/>
        </w:rPr>
      </w:pPr>
    </w:p>
    <w:p w:rsidR="007F2427" w:rsidRDefault="005D2339" w:rsidP="009101A1">
      <w:pPr>
        <w:ind w:right="224"/>
        <w:rPr>
          <w:lang w:val="en-US"/>
        </w:rPr>
      </w:pPr>
      <w:r>
        <w:rPr>
          <w:noProof/>
          <w:lang w:val="en-US"/>
        </w:rPr>
        <w:lastRenderedPageBreak/>
        <w:drawing>
          <wp:inline distT="0" distB="0" distL="0" distR="0">
            <wp:extent cx="6057900" cy="389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895725"/>
                    </a:xfrm>
                    <a:prstGeom prst="rect">
                      <a:avLst/>
                    </a:prstGeom>
                    <a:noFill/>
                    <a:ln>
                      <a:noFill/>
                    </a:ln>
                  </pic:spPr>
                </pic:pic>
              </a:graphicData>
            </a:graphic>
          </wp:inline>
        </w:drawing>
      </w:r>
    </w:p>
    <w:p w:rsidR="001B5B7B" w:rsidRDefault="001B5B7B" w:rsidP="009101A1">
      <w:pPr>
        <w:ind w:right="224"/>
        <w:rPr>
          <w:sz w:val="22"/>
          <w:lang w:val="en-US"/>
        </w:rPr>
      </w:pPr>
    </w:p>
    <w:p w:rsidR="003F533E" w:rsidRDefault="003F533E" w:rsidP="009101A1">
      <w:pPr>
        <w:ind w:right="224"/>
        <w:rPr>
          <w:lang w:val="en-US"/>
        </w:rPr>
      </w:pPr>
    </w:p>
    <w:p w:rsidR="00B57D69" w:rsidRDefault="00B57D69" w:rsidP="00B57D69">
      <w:pP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7F1624" w:rsidRPr="007B577C" w:rsidTr="007B577C">
        <w:tc>
          <w:tcPr>
            <w:tcW w:w="9936" w:type="dxa"/>
            <w:shd w:val="clear" w:color="auto" w:fill="auto"/>
          </w:tcPr>
          <w:p w:rsidR="007F1624" w:rsidRPr="007B577C" w:rsidRDefault="007F1624" w:rsidP="007F1624">
            <w:pPr>
              <w:rPr>
                <w:b/>
                <w:sz w:val="28"/>
                <w:lang w:val="en-US"/>
              </w:rPr>
            </w:pPr>
          </w:p>
          <w:p w:rsidR="00AF35C6" w:rsidRPr="00C65A6D" w:rsidRDefault="00AF35C6" w:rsidP="00AF35C6">
            <w:pPr>
              <w:numPr>
                <w:ilvl w:val="0"/>
                <w:numId w:val="1"/>
              </w:numPr>
              <w:rPr>
                <w:sz w:val="22"/>
                <w:lang w:val="en-US"/>
              </w:rPr>
            </w:pPr>
            <w:r w:rsidRPr="00C65A6D">
              <w:rPr>
                <w:sz w:val="22"/>
                <w:lang w:val="en-US"/>
              </w:rPr>
              <w:t xml:space="preserve">Can you provide quantitative estimates of the information that is not provided and that is necessary to </w:t>
            </w:r>
            <w:r>
              <w:rPr>
                <w:sz w:val="22"/>
                <w:lang w:val="en-US"/>
              </w:rPr>
              <w:t>quantify all the flows of water</w:t>
            </w:r>
            <w:r w:rsidRPr="00C65A6D">
              <w:rPr>
                <w:sz w:val="22"/>
                <w:lang w:val="en-US"/>
              </w:rPr>
              <w:t>, such as, water discharged to the sewers and returns to inland water resources?  You can use coefficients to estimate the final water use (also known as water consumption).</w:t>
            </w:r>
          </w:p>
          <w:p w:rsidR="007F1624" w:rsidRPr="007B577C" w:rsidRDefault="007F1624" w:rsidP="00AF35C6">
            <w:pPr>
              <w:ind w:left="720"/>
              <w:rPr>
                <w:b/>
                <w:sz w:val="28"/>
                <w:lang w:val="en-US"/>
              </w:rPr>
            </w:pPr>
          </w:p>
        </w:tc>
      </w:tr>
    </w:tbl>
    <w:p w:rsidR="007F1624" w:rsidRDefault="007F1624" w:rsidP="00B57D69">
      <w:pPr>
        <w:rPr>
          <w:b/>
          <w:sz w:val="28"/>
          <w:lang w:val="en-US"/>
        </w:rPr>
      </w:pPr>
    </w:p>
    <w:p w:rsidR="001F0B7B" w:rsidRPr="00AF35C6" w:rsidRDefault="00267C40" w:rsidP="00576257">
      <w:pPr>
        <w:rPr>
          <w:sz w:val="22"/>
          <w:lang w:val="en-US"/>
        </w:rPr>
      </w:pPr>
      <w:r w:rsidRPr="00AF35C6">
        <w:rPr>
          <w:sz w:val="22"/>
          <w:lang w:val="en-US"/>
        </w:rPr>
        <w:t>The following assumptions will be made:</w:t>
      </w:r>
    </w:p>
    <w:p w:rsidR="00267C40" w:rsidRPr="00AF35C6" w:rsidRDefault="00267C40" w:rsidP="00576257">
      <w:pPr>
        <w:rPr>
          <w:sz w:val="22"/>
          <w:lang w:val="en-US"/>
        </w:rPr>
      </w:pPr>
    </w:p>
    <w:p w:rsidR="00D24CC2" w:rsidRPr="00AF35C6" w:rsidRDefault="00D32D7B" w:rsidP="00576257">
      <w:pPr>
        <w:rPr>
          <w:sz w:val="22"/>
          <w:lang w:val="en-US"/>
        </w:rPr>
      </w:pPr>
      <w:r>
        <w:rPr>
          <w:sz w:val="22"/>
          <w:lang w:val="en-US"/>
        </w:rPr>
        <w:t>The</w:t>
      </w:r>
      <w:r w:rsidR="00D24CC2" w:rsidRPr="00AF35C6">
        <w:rPr>
          <w:sz w:val="22"/>
          <w:lang w:val="en-US"/>
        </w:rPr>
        <w:t xml:space="preserve"> final water use or </w:t>
      </w:r>
      <w:r w:rsidR="00A90079" w:rsidRPr="00AF35C6">
        <w:rPr>
          <w:sz w:val="22"/>
          <w:lang w:val="en-US"/>
        </w:rPr>
        <w:t>“</w:t>
      </w:r>
      <w:r w:rsidR="00D24CC2" w:rsidRPr="00AF35C6">
        <w:rPr>
          <w:sz w:val="22"/>
          <w:lang w:val="en-US"/>
        </w:rPr>
        <w:t>water consumption</w:t>
      </w:r>
      <w:r w:rsidR="00E62529" w:rsidRPr="00AF35C6">
        <w:rPr>
          <w:sz w:val="22"/>
          <w:lang w:val="en-US"/>
        </w:rPr>
        <w:t>,</w:t>
      </w:r>
      <w:r w:rsidR="00A90079" w:rsidRPr="00AF35C6">
        <w:rPr>
          <w:sz w:val="22"/>
          <w:lang w:val="en-US"/>
        </w:rPr>
        <w:t>”</w:t>
      </w:r>
      <w:r w:rsidR="00E62529" w:rsidRPr="00AF35C6">
        <w:rPr>
          <w:sz w:val="22"/>
          <w:lang w:val="en-US"/>
        </w:rPr>
        <w:t xml:space="preserve"> </w:t>
      </w:r>
      <w:r>
        <w:rPr>
          <w:sz w:val="22"/>
          <w:lang w:val="en-US"/>
        </w:rPr>
        <w:t xml:space="preserve">can be estimated using </w:t>
      </w:r>
      <w:r w:rsidR="00E62529" w:rsidRPr="00AF35C6">
        <w:rPr>
          <w:sz w:val="22"/>
          <w:lang w:val="en-US"/>
        </w:rPr>
        <w:t xml:space="preserve">coefficients </w:t>
      </w:r>
      <w:r>
        <w:rPr>
          <w:sz w:val="22"/>
          <w:lang w:val="en-US"/>
        </w:rPr>
        <w:t>determined specifically for each case.  If the coefficients are not available locally, coefficients from other countries in the region may be used in a first stage, and then adjusted based on data from the country.  For the purpose of this exercise, some arbitrary coefficients, based on international data, will be used, as described below</w:t>
      </w:r>
    </w:p>
    <w:p w:rsidR="00D24CC2" w:rsidRPr="00AF35C6" w:rsidRDefault="00D24CC2" w:rsidP="00576257">
      <w:pPr>
        <w:rPr>
          <w:sz w:val="22"/>
          <w:lang w:val="en-US"/>
        </w:rPr>
      </w:pPr>
    </w:p>
    <w:p w:rsidR="00267C40" w:rsidRPr="00AF35C6" w:rsidRDefault="00267C40" w:rsidP="007B577C">
      <w:pPr>
        <w:numPr>
          <w:ilvl w:val="0"/>
          <w:numId w:val="5"/>
        </w:numPr>
        <w:rPr>
          <w:sz w:val="22"/>
          <w:lang w:val="en-US"/>
        </w:rPr>
      </w:pPr>
      <w:r w:rsidRPr="00AF35C6">
        <w:rPr>
          <w:sz w:val="22"/>
          <w:lang w:val="en-US"/>
        </w:rPr>
        <w:t xml:space="preserve">Hydroelectricity: </w:t>
      </w:r>
      <w:r w:rsidR="00D32D7B">
        <w:rPr>
          <w:sz w:val="22"/>
          <w:lang w:val="en-US"/>
        </w:rPr>
        <w:t xml:space="preserve">it will be assumed that </w:t>
      </w:r>
      <w:r w:rsidRPr="00AF35C6">
        <w:rPr>
          <w:sz w:val="22"/>
          <w:lang w:val="en-US"/>
        </w:rPr>
        <w:t>all the water turbinated is returned to inland water resources after leaving the power plant.</w:t>
      </w:r>
    </w:p>
    <w:p w:rsidR="00267C40" w:rsidRPr="00AF35C6" w:rsidRDefault="00267C40" w:rsidP="007B577C">
      <w:pPr>
        <w:numPr>
          <w:ilvl w:val="0"/>
          <w:numId w:val="5"/>
        </w:numPr>
        <w:rPr>
          <w:sz w:val="22"/>
          <w:lang w:val="en-US"/>
        </w:rPr>
      </w:pPr>
      <w:r w:rsidRPr="00AF35C6">
        <w:rPr>
          <w:sz w:val="22"/>
          <w:lang w:val="en-US"/>
        </w:rPr>
        <w:t xml:space="preserve">Thermoelectricity: </w:t>
      </w:r>
      <w:r w:rsidR="00D32D7B">
        <w:rPr>
          <w:sz w:val="22"/>
          <w:lang w:val="en-US"/>
        </w:rPr>
        <w:t xml:space="preserve">it will be assumed that </w:t>
      </w:r>
      <w:r w:rsidRPr="00AF35C6">
        <w:rPr>
          <w:sz w:val="22"/>
          <w:lang w:val="en-US"/>
        </w:rPr>
        <w:t>95% of the water abstracted for cooling is returned to inland water resources.  The rest, 5%, is evaporated.</w:t>
      </w:r>
    </w:p>
    <w:p w:rsidR="00267C40" w:rsidRPr="00AF35C6" w:rsidRDefault="008C6510" w:rsidP="007B577C">
      <w:pPr>
        <w:numPr>
          <w:ilvl w:val="0"/>
          <w:numId w:val="5"/>
        </w:numPr>
        <w:rPr>
          <w:sz w:val="22"/>
          <w:lang w:val="en-US"/>
        </w:rPr>
      </w:pPr>
      <w:r w:rsidRPr="00AF35C6">
        <w:rPr>
          <w:sz w:val="22"/>
          <w:lang w:val="en-US"/>
        </w:rPr>
        <w:t xml:space="preserve">Households: </w:t>
      </w:r>
      <w:r w:rsidR="00D32D7B">
        <w:rPr>
          <w:sz w:val="22"/>
          <w:lang w:val="en-US"/>
        </w:rPr>
        <w:t xml:space="preserve">it will be assumed that </w:t>
      </w:r>
      <w:r w:rsidRPr="00AF35C6">
        <w:rPr>
          <w:sz w:val="22"/>
          <w:lang w:val="en-US"/>
        </w:rPr>
        <w:t>8</w:t>
      </w:r>
      <w:r w:rsidR="00267C40" w:rsidRPr="00AF35C6">
        <w:rPr>
          <w:sz w:val="22"/>
          <w:lang w:val="en-US"/>
        </w:rPr>
        <w:t>0% of the water received goes to the sewers, the rest is evaporated.</w:t>
      </w:r>
    </w:p>
    <w:p w:rsidR="00267C40" w:rsidRPr="00AF35C6" w:rsidRDefault="008C6510" w:rsidP="007B577C">
      <w:pPr>
        <w:numPr>
          <w:ilvl w:val="0"/>
          <w:numId w:val="5"/>
        </w:numPr>
        <w:rPr>
          <w:sz w:val="22"/>
          <w:lang w:val="en-US"/>
        </w:rPr>
      </w:pPr>
      <w:r w:rsidRPr="00AF35C6">
        <w:rPr>
          <w:sz w:val="22"/>
          <w:lang w:val="en-US"/>
        </w:rPr>
        <w:t xml:space="preserve">Agriculture: </w:t>
      </w:r>
      <w:r w:rsidR="00D32D7B">
        <w:rPr>
          <w:sz w:val="22"/>
          <w:lang w:val="en-US"/>
        </w:rPr>
        <w:t xml:space="preserve">it will be assumed </w:t>
      </w:r>
      <w:r w:rsidRPr="00AF35C6">
        <w:rPr>
          <w:sz w:val="22"/>
          <w:lang w:val="en-US"/>
        </w:rPr>
        <w:t>4</w:t>
      </w:r>
      <w:r w:rsidR="00267C40" w:rsidRPr="00AF35C6">
        <w:rPr>
          <w:sz w:val="22"/>
          <w:lang w:val="en-US"/>
        </w:rPr>
        <w:t>0% of the water used (</w:t>
      </w:r>
      <w:r w:rsidR="00704BF5" w:rsidRPr="00AF35C6">
        <w:rPr>
          <w:sz w:val="22"/>
          <w:lang w:val="en-US"/>
        </w:rPr>
        <w:t>received from the irrigation districts and abstracted by agriculture) is returned to inland water resources.</w:t>
      </w:r>
    </w:p>
    <w:p w:rsidR="00D24CC2" w:rsidRPr="00AF35C6" w:rsidRDefault="00D32D7B" w:rsidP="00D24CC2">
      <w:pPr>
        <w:numPr>
          <w:ilvl w:val="0"/>
          <w:numId w:val="5"/>
        </w:numPr>
        <w:rPr>
          <w:sz w:val="22"/>
          <w:lang w:val="en-US"/>
        </w:rPr>
      </w:pPr>
      <w:r>
        <w:rPr>
          <w:sz w:val="22"/>
          <w:lang w:val="en-US"/>
        </w:rPr>
        <w:lastRenderedPageBreak/>
        <w:t>It will be assumed that t</w:t>
      </w:r>
      <w:r w:rsidR="00D24CC2" w:rsidRPr="00AF35C6">
        <w:rPr>
          <w:sz w:val="22"/>
          <w:lang w:val="en-US"/>
        </w:rPr>
        <w:t xml:space="preserve">he different industries and services, other than agriculture, discard 70% of the water received.  </w:t>
      </w:r>
    </w:p>
    <w:p w:rsidR="00D24CC2" w:rsidRPr="00AF35C6" w:rsidRDefault="00D24CC2" w:rsidP="00D24CC2">
      <w:pPr>
        <w:rPr>
          <w:sz w:val="22"/>
          <w:lang w:val="en-US"/>
        </w:rPr>
      </w:pPr>
    </w:p>
    <w:p w:rsidR="00D24CC2" w:rsidRPr="00AF35C6" w:rsidRDefault="00D24CC2" w:rsidP="00D24CC2">
      <w:pPr>
        <w:rPr>
          <w:sz w:val="22"/>
          <w:lang w:val="en-US"/>
        </w:rPr>
      </w:pPr>
      <w:r w:rsidRPr="00AF35C6">
        <w:rPr>
          <w:sz w:val="22"/>
          <w:lang w:val="en-US"/>
        </w:rPr>
        <w:t xml:space="preserve">Regarding </w:t>
      </w:r>
      <w:r w:rsidR="00A90079" w:rsidRPr="00AF35C6">
        <w:rPr>
          <w:sz w:val="22"/>
          <w:lang w:val="en-US"/>
        </w:rPr>
        <w:t xml:space="preserve">the </w:t>
      </w:r>
      <w:r w:rsidRPr="00AF35C6">
        <w:rPr>
          <w:sz w:val="22"/>
          <w:lang w:val="en-US"/>
        </w:rPr>
        <w:t>destination of wastewater</w:t>
      </w:r>
      <w:r w:rsidR="00E62529" w:rsidRPr="00AF35C6">
        <w:rPr>
          <w:sz w:val="22"/>
          <w:lang w:val="en-US"/>
        </w:rPr>
        <w:t xml:space="preserve">, some assumptions can be made based on </w:t>
      </w:r>
      <w:r w:rsidR="009D3316" w:rsidRPr="00AF35C6">
        <w:rPr>
          <w:sz w:val="22"/>
          <w:lang w:val="en-US"/>
        </w:rPr>
        <w:t xml:space="preserve">the different discharges identified and/or the general known facts of </w:t>
      </w:r>
      <w:r w:rsidR="00D32D7B">
        <w:rPr>
          <w:sz w:val="22"/>
          <w:lang w:val="en-US"/>
        </w:rPr>
        <w:t>the country or region.  The following assumptions will be made for this exercise</w:t>
      </w:r>
      <w:r w:rsidRPr="00AF35C6">
        <w:rPr>
          <w:sz w:val="22"/>
          <w:lang w:val="en-US"/>
        </w:rPr>
        <w:t>:</w:t>
      </w:r>
    </w:p>
    <w:p w:rsidR="00D24CC2" w:rsidRPr="00AF35C6" w:rsidRDefault="00D24CC2" w:rsidP="00D24CC2">
      <w:pPr>
        <w:rPr>
          <w:sz w:val="22"/>
          <w:lang w:val="en-US"/>
        </w:rPr>
      </w:pPr>
    </w:p>
    <w:p w:rsidR="008C6510" w:rsidRPr="00AF35C6" w:rsidRDefault="008C6510" w:rsidP="007B577C">
      <w:pPr>
        <w:numPr>
          <w:ilvl w:val="0"/>
          <w:numId w:val="5"/>
        </w:numPr>
        <w:rPr>
          <w:sz w:val="22"/>
          <w:lang w:val="en-US"/>
        </w:rPr>
      </w:pPr>
      <w:r w:rsidRPr="00AF35C6">
        <w:rPr>
          <w:sz w:val="22"/>
          <w:lang w:val="en-US"/>
        </w:rPr>
        <w:t xml:space="preserve">The water </w:t>
      </w:r>
      <w:r w:rsidR="00A90079" w:rsidRPr="00AF35C6">
        <w:rPr>
          <w:sz w:val="22"/>
          <w:lang w:val="en-US"/>
        </w:rPr>
        <w:t xml:space="preserve">discarded </w:t>
      </w:r>
      <w:r w:rsidR="00D24CC2" w:rsidRPr="00AF35C6">
        <w:rPr>
          <w:sz w:val="22"/>
          <w:lang w:val="en-US"/>
        </w:rPr>
        <w:t>by industries and services</w:t>
      </w:r>
      <w:r w:rsidRPr="00AF35C6">
        <w:rPr>
          <w:sz w:val="22"/>
          <w:lang w:val="en-US"/>
        </w:rPr>
        <w:t xml:space="preserve"> is sent to the sewers, to the sea, and to surface water in equal proportions.</w:t>
      </w:r>
    </w:p>
    <w:p w:rsidR="008C6510" w:rsidRPr="00AF35C6" w:rsidRDefault="00D24CC2" w:rsidP="007B577C">
      <w:pPr>
        <w:numPr>
          <w:ilvl w:val="0"/>
          <w:numId w:val="5"/>
        </w:numPr>
        <w:rPr>
          <w:sz w:val="22"/>
          <w:lang w:val="en-US"/>
        </w:rPr>
      </w:pPr>
      <w:r w:rsidRPr="00AF35C6">
        <w:rPr>
          <w:sz w:val="22"/>
          <w:lang w:val="en-US"/>
        </w:rPr>
        <w:t xml:space="preserve">40 million cubic meters per year of the </w:t>
      </w:r>
      <w:r w:rsidR="008C6510" w:rsidRPr="00AF35C6">
        <w:rPr>
          <w:sz w:val="22"/>
          <w:lang w:val="en-US"/>
        </w:rPr>
        <w:t xml:space="preserve">water discarded through the sewers is sent </w:t>
      </w:r>
      <w:r w:rsidRPr="00AF35C6">
        <w:rPr>
          <w:sz w:val="22"/>
          <w:lang w:val="en-US"/>
        </w:rPr>
        <w:t>to agriculture for reuse</w:t>
      </w:r>
      <w:r w:rsidR="00A90079" w:rsidRPr="00AF35C6">
        <w:rPr>
          <w:sz w:val="22"/>
          <w:lang w:val="en-US"/>
        </w:rPr>
        <w:t xml:space="preserve"> (information provided in the statement of the problem)</w:t>
      </w:r>
      <w:r w:rsidRPr="00AF35C6">
        <w:rPr>
          <w:sz w:val="22"/>
          <w:lang w:val="en-US"/>
        </w:rPr>
        <w:t xml:space="preserve">.  From the amount not sent to reuse </w:t>
      </w:r>
      <w:r w:rsidR="008C6510" w:rsidRPr="00AF35C6">
        <w:rPr>
          <w:sz w:val="22"/>
          <w:lang w:val="en-US"/>
        </w:rPr>
        <w:t>half is sent to surface water bodies</w:t>
      </w:r>
      <w:r w:rsidRPr="00AF35C6">
        <w:rPr>
          <w:sz w:val="22"/>
          <w:lang w:val="en-US"/>
        </w:rPr>
        <w:t xml:space="preserve"> and half to the sea</w:t>
      </w:r>
      <w:r w:rsidR="008C6510" w:rsidRPr="00AF35C6">
        <w:rPr>
          <w:sz w:val="22"/>
          <w:lang w:val="en-US"/>
        </w:rPr>
        <w:t>.</w:t>
      </w:r>
    </w:p>
    <w:p w:rsidR="00D24CC2" w:rsidRPr="00AF35C6" w:rsidRDefault="00D24CC2" w:rsidP="007B577C">
      <w:pPr>
        <w:numPr>
          <w:ilvl w:val="0"/>
          <w:numId w:val="5"/>
        </w:numPr>
        <w:rPr>
          <w:sz w:val="22"/>
          <w:lang w:val="en-US"/>
        </w:rPr>
      </w:pPr>
      <w:r w:rsidRPr="00AF35C6">
        <w:rPr>
          <w:sz w:val="22"/>
          <w:lang w:val="en-US"/>
        </w:rPr>
        <w:t>80% of the water discarded by agriculture goes to groundwater and 20% to surface water.</w:t>
      </w:r>
    </w:p>
    <w:p w:rsidR="00576257" w:rsidRPr="00AF35C6" w:rsidRDefault="00576257" w:rsidP="00576257">
      <w:pPr>
        <w:ind w:left="720"/>
        <w:rPr>
          <w:sz w:val="22"/>
          <w:lang w:val="en-US"/>
        </w:rPr>
      </w:pPr>
    </w:p>
    <w:p w:rsidR="009450D8" w:rsidRPr="00AF35C6" w:rsidRDefault="009450D8" w:rsidP="009450D8">
      <w:pPr>
        <w:rPr>
          <w:sz w:val="22"/>
          <w:lang w:val="en-US"/>
        </w:rPr>
      </w:pPr>
      <w:r w:rsidRPr="00AF35C6">
        <w:rPr>
          <w:sz w:val="22"/>
          <w:lang w:val="en-US"/>
        </w:rPr>
        <w:t>With these assumptions, the following estimates are made</w:t>
      </w:r>
      <w:r w:rsidR="007C759D" w:rsidRPr="00AF35C6">
        <w:rPr>
          <w:sz w:val="22"/>
          <w:lang w:val="en-US"/>
        </w:rPr>
        <w:t xml:space="preserve"> (all the numbers are in million cubic meters of water per year)</w:t>
      </w:r>
      <w:r w:rsidRPr="00AF35C6">
        <w:rPr>
          <w:sz w:val="22"/>
          <w:lang w:val="en-US"/>
        </w:rPr>
        <w:t>:</w:t>
      </w:r>
    </w:p>
    <w:p w:rsidR="009450D8" w:rsidRPr="00AF35C6" w:rsidRDefault="009450D8" w:rsidP="009450D8">
      <w:pPr>
        <w:rPr>
          <w:sz w:val="22"/>
          <w:lang w:val="en-US"/>
        </w:rPr>
      </w:pPr>
    </w:p>
    <w:p w:rsidR="009450D8" w:rsidRPr="00AF35C6" w:rsidRDefault="009450D8" w:rsidP="00605BB7">
      <w:pPr>
        <w:numPr>
          <w:ilvl w:val="0"/>
          <w:numId w:val="8"/>
        </w:numPr>
        <w:rPr>
          <w:sz w:val="22"/>
          <w:lang w:val="en-US"/>
        </w:rPr>
      </w:pPr>
      <w:r w:rsidRPr="00AF35C6">
        <w:rPr>
          <w:sz w:val="22"/>
          <w:lang w:val="en-US"/>
        </w:rPr>
        <w:t>Returns to surface waters (H.1.1) from hydroelectric plants</w:t>
      </w:r>
      <w:r w:rsidR="007C759D" w:rsidRPr="00AF35C6">
        <w:rPr>
          <w:sz w:val="22"/>
          <w:lang w:val="en-US"/>
        </w:rPr>
        <w:t xml:space="preserve"> = 19 600</w:t>
      </w:r>
      <w:r w:rsidRPr="00AF35C6">
        <w:rPr>
          <w:sz w:val="22"/>
          <w:lang w:val="en-US"/>
        </w:rPr>
        <w:t>.</w:t>
      </w:r>
    </w:p>
    <w:p w:rsidR="009450D8" w:rsidRPr="00AF35C6" w:rsidRDefault="009450D8" w:rsidP="00605BB7">
      <w:pPr>
        <w:numPr>
          <w:ilvl w:val="0"/>
          <w:numId w:val="8"/>
        </w:numPr>
        <w:rPr>
          <w:sz w:val="22"/>
          <w:lang w:val="en-US"/>
        </w:rPr>
      </w:pPr>
      <w:r w:rsidRPr="00AF35C6">
        <w:rPr>
          <w:sz w:val="22"/>
          <w:lang w:val="en-US"/>
        </w:rPr>
        <w:t>Returns to surface waters (H.1.1) from thermoelectric</w:t>
      </w:r>
      <w:r w:rsidR="007C759D" w:rsidRPr="00AF35C6">
        <w:rPr>
          <w:sz w:val="22"/>
          <w:lang w:val="en-US"/>
        </w:rPr>
        <w:t xml:space="preserve"> plants = 618</w:t>
      </w:r>
      <w:r w:rsidRPr="00AF35C6">
        <w:rPr>
          <w:sz w:val="22"/>
          <w:lang w:val="en-US"/>
        </w:rPr>
        <w:t>.</w:t>
      </w:r>
    </w:p>
    <w:p w:rsidR="009450D8" w:rsidRPr="00AF35C6" w:rsidRDefault="009450D8" w:rsidP="00605BB7">
      <w:pPr>
        <w:numPr>
          <w:ilvl w:val="0"/>
          <w:numId w:val="8"/>
        </w:numPr>
        <w:rPr>
          <w:sz w:val="22"/>
          <w:lang w:val="en-US"/>
        </w:rPr>
      </w:pPr>
      <w:r w:rsidRPr="00AF35C6">
        <w:rPr>
          <w:sz w:val="22"/>
          <w:lang w:val="en-US"/>
        </w:rPr>
        <w:t xml:space="preserve">Returns to surface waters (H.1.1) from agriculture = </w:t>
      </w:r>
      <w:r w:rsidR="009A7EDB">
        <w:rPr>
          <w:sz w:val="22"/>
          <w:lang w:val="en-US"/>
        </w:rPr>
        <w:t>20</w:t>
      </w:r>
      <w:r w:rsidRPr="00AF35C6">
        <w:rPr>
          <w:sz w:val="22"/>
          <w:lang w:val="en-US"/>
        </w:rPr>
        <w:t>% (</w:t>
      </w:r>
      <w:r w:rsidR="007C759D" w:rsidRPr="00AF35C6">
        <w:rPr>
          <w:sz w:val="22"/>
          <w:lang w:val="en-US"/>
        </w:rPr>
        <w:t xml:space="preserve">40%)(1 600) = </w:t>
      </w:r>
      <w:r w:rsidR="009A7EDB">
        <w:rPr>
          <w:sz w:val="22"/>
          <w:lang w:val="en-US"/>
        </w:rPr>
        <w:t>515</w:t>
      </w:r>
      <w:r w:rsidRPr="00AF35C6">
        <w:rPr>
          <w:sz w:val="22"/>
          <w:lang w:val="en-US"/>
        </w:rPr>
        <w:t>.</w:t>
      </w:r>
    </w:p>
    <w:p w:rsidR="009450D8" w:rsidRPr="00AF35C6" w:rsidRDefault="009450D8" w:rsidP="00605BB7">
      <w:pPr>
        <w:numPr>
          <w:ilvl w:val="0"/>
          <w:numId w:val="8"/>
        </w:numPr>
        <w:rPr>
          <w:sz w:val="22"/>
          <w:lang w:val="en-US"/>
        </w:rPr>
      </w:pPr>
      <w:r w:rsidRPr="00AF35C6">
        <w:rPr>
          <w:sz w:val="22"/>
          <w:lang w:val="en-US"/>
        </w:rPr>
        <w:t xml:space="preserve">Returns to groundwater (H.1.2) from agriculture = </w:t>
      </w:r>
      <w:r w:rsidR="009A7EDB">
        <w:rPr>
          <w:sz w:val="22"/>
          <w:lang w:val="en-US"/>
        </w:rPr>
        <w:t>80</w:t>
      </w:r>
      <w:r w:rsidRPr="00AF35C6">
        <w:rPr>
          <w:sz w:val="22"/>
          <w:lang w:val="en-US"/>
        </w:rPr>
        <w:t>% (</w:t>
      </w:r>
      <w:r w:rsidR="007C759D" w:rsidRPr="00AF35C6">
        <w:rPr>
          <w:sz w:val="22"/>
          <w:lang w:val="en-US"/>
        </w:rPr>
        <w:t>40%)(1 60</w:t>
      </w:r>
      <w:r w:rsidRPr="00AF35C6">
        <w:rPr>
          <w:sz w:val="22"/>
          <w:lang w:val="en-US"/>
        </w:rPr>
        <w:t xml:space="preserve">0) = </w:t>
      </w:r>
      <w:r w:rsidR="009A7EDB">
        <w:rPr>
          <w:sz w:val="22"/>
          <w:lang w:val="en-US"/>
        </w:rPr>
        <w:t>129</w:t>
      </w:r>
      <w:r w:rsidRPr="00AF35C6">
        <w:rPr>
          <w:sz w:val="22"/>
          <w:lang w:val="en-US"/>
        </w:rPr>
        <w:t>.</w:t>
      </w:r>
    </w:p>
    <w:p w:rsidR="009450D8" w:rsidRPr="00AF35C6" w:rsidRDefault="00A70939" w:rsidP="00605BB7">
      <w:pPr>
        <w:numPr>
          <w:ilvl w:val="0"/>
          <w:numId w:val="8"/>
        </w:numPr>
        <w:rPr>
          <w:sz w:val="22"/>
          <w:lang w:val="en-US"/>
        </w:rPr>
      </w:pPr>
      <w:r w:rsidRPr="00AF35C6">
        <w:rPr>
          <w:sz w:val="22"/>
          <w:lang w:val="en-US"/>
        </w:rPr>
        <w:t>Wastewater from households to sewers (</w:t>
      </w:r>
      <w:r w:rsidR="007C759D" w:rsidRPr="00AF35C6">
        <w:rPr>
          <w:sz w:val="22"/>
          <w:lang w:val="en-US"/>
        </w:rPr>
        <w:t>F.3.1) = 80% (350) = 280</w:t>
      </w:r>
      <w:r w:rsidRPr="00AF35C6">
        <w:rPr>
          <w:sz w:val="22"/>
          <w:lang w:val="en-US"/>
        </w:rPr>
        <w:t>.</w:t>
      </w:r>
    </w:p>
    <w:p w:rsidR="00A70939" w:rsidRPr="00AF35C6" w:rsidRDefault="00A70939" w:rsidP="00605BB7">
      <w:pPr>
        <w:numPr>
          <w:ilvl w:val="0"/>
          <w:numId w:val="8"/>
        </w:numPr>
        <w:rPr>
          <w:sz w:val="22"/>
          <w:lang w:val="en-US"/>
        </w:rPr>
      </w:pPr>
      <w:r w:rsidRPr="00AF35C6">
        <w:rPr>
          <w:sz w:val="22"/>
          <w:lang w:val="en-US"/>
        </w:rPr>
        <w:t xml:space="preserve">Wastewater from industries and services to sewers (F.3.1) = 1/3 (70%)(202) = </w:t>
      </w:r>
      <w:r w:rsidR="007C759D" w:rsidRPr="00AF35C6">
        <w:rPr>
          <w:sz w:val="22"/>
          <w:lang w:val="en-US"/>
        </w:rPr>
        <w:t>47</w:t>
      </w:r>
    </w:p>
    <w:p w:rsidR="007C759D" w:rsidRPr="00AF35C6" w:rsidRDefault="007C759D" w:rsidP="00605BB7">
      <w:pPr>
        <w:numPr>
          <w:ilvl w:val="0"/>
          <w:numId w:val="8"/>
        </w:numPr>
        <w:rPr>
          <w:sz w:val="22"/>
          <w:lang w:val="en-US"/>
        </w:rPr>
      </w:pPr>
      <w:r w:rsidRPr="00AF35C6">
        <w:rPr>
          <w:sz w:val="22"/>
          <w:lang w:val="en-US"/>
        </w:rPr>
        <w:t>Returns from industries and services to surface waters (H.1.1) = 1/3(70%)(202) = 47</w:t>
      </w:r>
    </w:p>
    <w:p w:rsidR="007C759D" w:rsidRDefault="007C759D" w:rsidP="00605BB7">
      <w:pPr>
        <w:numPr>
          <w:ilvl w:val="0"/>
          <w:numId w:val="8"/>
        </w:numPr>
        <w:rPr>
          <w:sz w:val="22"/>
          <w:lang w:val="en-US"/>
        </w:rPr>
      </w:pPr>
      <w:r w:rsidRPr="00AF35C6">
        <w:rPr>
          <w:sz w:val="22"/>
          <w:lang w:val="en-US"/>
        </w:rPr>
        <w:t>Returns from industries and services to the sea (H.2) = 1/3(70%)(202) = 47</w:t>
      </w:r>
    </w:p>
    <w:p w:rsidR="00C1222A" w:rsidRDefault="00C1222A" w:rsidP="00605BB7">
      <w:pPr>
        <w:numPr>
          <w:ilvl w:val="0"/>
          <w:numId w:val="8"/>
        </w:numPr>
        <w:rPr>
          <w:sz w:val="22"/>
          <w:lang w:val="en-US"/>
        </w:rPr>
      </w:pPr>
      <w:r>
        <w:rPr>
          <w:sz w:val="22"/>
          <w:lang w:val="en-US"/>
        </w:rPr>
        <w:t>Flows from sewerage to the sea = 50%(287) = 143.5</w:t>
      </w:r>
      <w:r w:rsidR="00505E07">
        <w:rPr>
          <w:sz w:val="22"/>
          <w:lang w:val="en-US"/>
        </w:rPr>
        <w:t>.  This will be rounded as 144.</w:t>
      </w:r>
    </w:p>
    <w:p w:rsidR="00C1222A" w:rsidRPr="00AF35C6" w:rsidRDefault="00C1222A" w:rsidP="00605BB7">
      <w:pPr>
        <w:numPr>
          <w:ilvl w:val="0"/>
          <w:numId w:val="8"/>
        </w:numPr>
        <w:rPr>
          <w:sz w:val="22"/>
          <w:lang w:val="en-US"/>
        </w:rPr>
      </w:pPr>
      <w:r>
        <w:rPr>
          <w:sz w:val="22"/>
          <w:lang w:val="en-US"/>
        </w:rPr>
        <w:t>Flows from sewerage to surface water bodies = 50%(287) = 143.5</w:t>
      </w:r>
      <w:r w:rsidR="00505E07">
        <w:rPr>
          <w:sz w:val="22"/>
          <w:lang w:val="en-US"/>
        </w:rPr>
        <w:t>.  This will be rounded as 143.</w:t>
      </w:r>
      <w:r>
        <w:rPr>
          <w:sz w:val="22"/>
          <w:lang w:val="en-US"/>
        </w:rPr>
        <w:t xml:space="preserve"> </w:t>
      </w:r>
    </w:p>
    <w:p w:rsidR="007C759D" w:rsidRPr="00AF35C6" w:rsidRDefault="007C759D" w:rsidP="007C759D">
      <w:pPr>
        <w:ind w:left="720"/>
        <w:rPr>
          <w:sz w:val="22"/>
          <w:lang w:val="en-US"/>
        </w:rPr>
      </w:pPr>
    </w:p>
    <w:p w:rsidR="001B5B7B" w:rsidRDefault="001B5B7B" w:rsidP="009450D8">
      <w:pPr>
        <w:rPr>
          <w:sz w:val="22"/>
          <w:lang w:val="en-US"/>
        </w:rPr>
      </w:pPr>
    </w:p>
    <w:p w:rsidR="009450D8" w:rsidRDefault="00D22BEC" w:rsidP="009450D8">
      <w:pPr>
        <w:rPr>
          <w:sz w:val="22"/>
          <w:lang w:val="en-US"/>
        </w:rPr>
      </w:pPr>
      <w:r w:rsidRPr="00AF35C6">
        <w:rPr>
          <w:sz w:val="22"/>
          <w:lang w:val="en-US"/>
        </w:rPr>
        <w:t>The following diagram shows the estimated values in red</w:t>
      </w:r>
      <w:r w:rsidR="004A031C">
        <w:rPr>
          <w:sz w:val="22"/>
          <w:lang w:val="en-US"/>
        </w:rPr>
        <w:t>.</w:t>
      </w:r>
    </w:p>
    <w:p w:rsidR="001E52B9" w:rsidRDefault="001E52B9" w:rsidP="009450D8">
      <w:pPr>
        <w:rPr>
          <w:sz w:val="22"/>
          <w:lang w:val="en-US"/>
        </w:rPr>
      </w:pPr>
    </w:p>
    <w:p w:rsidR="001E52B9" w:rsidRPr="00AF35C6" w:rsidRDefault="005D2339" w:rsidP="009450D8">
      <w:pPr>
        <w:rPr>
          <w:sz w:val="22"/>
          <w:lang w:val="en-US"/>
        </w:rPr>
      </w:pPr>
      <w:r>
        <w:rPr>
          <w:noProof/>
          <w:sz w:val="22"/>
          <w:lang w:val="en-US"/>
        </w:rPr>
        <w:lastRenderedPageBreak/>
        <w:drawing>
          <wp:inline distT="0" distB="0" distL="0" distR="0">
            <wp:extent cx="6477000" cy="425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4257675"/>
                    </a:xfrm>
                    <a:prstGeom prst="rect">
                      <a:avLst/>
                    </a:prstGeom>
                    <a:noFill/>
                    <a:ln>
                      <a:noFill/>
                    </a:ln>
                  </pic:spPr>
                </pic:pic>
              </a:graphicData>
            </a:graphic>
          </wp:inline>
        </w:drawing>
      </w:r>
    </w:p>
    <w:p w:rsidR="00D22BEC" w:rsidRDefault="00D22BEC" w:rsidP="00A90079">
      <w:pPr>
        <w:jc w:val="center"/>
        <w:rPr>
          <w:lang w:val="en-US"/>
        </w:rPr>
      </w:pPr>
    </w:p>
    <w:p w:rsidR="000D1054" w:rsidRPr="009450D8" w:rsidRDefault="001E52B9" w:rsidP="00D22BEC">
      <w:pPr>
        <w:rPr>
          <w:lang w:val="en-US"/>
        </w:rPr>
      </w:pPr>
      <w:r>
        <w:rPr>
          <w:b/>
          <w:sz w:val="28"/>
          <w:lang w:val="en-US"/>
        </w:rPr>
        <w:br w:type="page"/>
      </w:r>
      <w:r w:rsidR="000D1054">
        <w:rPr>
          <w:b/>
          <w:sz w:val="28"/>
          <w:lang w:val="en-US"/>
        </w:rPr>
        <w:lastRenderedPageBreak/>
        <w:t xml:space="preserve">Module II:  </w:t>
      </w:r>
      <w:r w:rsidR="00D45B5D">
        <w:rPr>
          <w:b/>
          <w:sz w:val="28"/>
          <w:lang w:val="en-US"/>
        </w:rPr>
        <w:t>Basic understanding of the</w:t>
      </w:r>
      <w:r w:rsidR="0092697B">
        <w:rPr>
          <w:b/>
          <w:sz w:val="28"/>
          <w:lang w:val="en-US"/>
        </w:rPr>
        <w:t xml:space="preserve"> natural water cycle</w:t>
      </w:r>
    </w:p>
    <w:p w:rsidR="00D22BEC" w:rsidRPr="007F1624" w:rsidRDefault="00D22BEC" w:rsidP="00F85237">
      <w:pP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7F1624" w:rsidRPr="007B577C" w:rsidTr="007B577C">
        <w:tc>
          <w:tcPr>
            <w:tcW w:w="9936" w:type="dxa"/>
            <w:shd w:val="clear" w:color="auto" w:fill="auto"/>
          </w:tcPr>
          <w:p w:rsidR="007F1624" w:rsidRPr="007B577C" w:rsidRDefault="007F1624" w:rsidP="007F1624">
            <w:pPr>
              <w:rPr>
                <w:lang w:val="en-US"/>
              </w:rPr>
            </w:pPr>
          </w:p>
          <w:p w:rsidR="00F61D74" w:rsidRPr="00C65A6D" w:rsidRDefault="00F61D74" w:rsidP="00F61D74">
            <w:pPr>
              <w:numPr>
                <w:ilvl w:val="0"/>
                <w:numId w:val="2"/>
              </w:numPr>
              <w:ind w:right="224"/>
              <w:rPr>
                <w:sz w:val="22"/>
                <w:lang w:val="en-US"/>
              </w:rPr>
            </w:pPr>
            <w:r>
              <w:rPr>
                <w:sz w:val="22"/>
                <w:lang w:val="en-US"/>
              </w:rPr>
              <w:t>Make a diagram that shows all the interconnected flows of water entering and leaving Unu, with</w:t>
            </w:r>
            <w:r w:rsidRPr="00C65A6D">
              <w:rPr>
                <w:sz w:val="22"/>
                <w:lang w:val="en-US"/>
              </w:rPr>
              <w:t xml:space="preserve"> the information provided.</w:t>
            </w:r>
            <w:r>
              <w:rPr>
                <w:sz w:val="22"/>
                <w:lang w:val="en-US"/>
              </w:rPr>
              <w:t xml:space="preserve">  Use the template provided.</w:t>
            </w:r>
            <w:r w:rsidRPr="00C65A6D">
              <w:rPr>
                <w:sz w:val="22"/>
                <w:lang w:val="en-US"/>
              </w:rPr>
              <w:t xml:space="preserve"> </w:t>
            </w:r>
          </w:p>
          <w:p w:rsidR="007F1624" w:rsidRPr="007B577C" w:rsidRDefault="007F1624" w:rsidP="00F61D74">
            <w:pPr>
              <w:ind w:left="360" w:right="224"/>
              <w:rPr>
                <w:lang w:val="en-US"/>
              </w:rPr>
            </w:pPr>
          </w:p>
        </w:tc>
      </w:tr>
    </w:tbl>
    <w:p w:rsidR="000D1054" w:rsidRPr="00D32D7B" w:rsidRDefault="000D1054" w:rsidP="00576257">
      <w:pPr>
        <w:rPr>
          <w:sz w:val="22"/>
          <w:lang w:val="en-US"/>
        </w:rPr>
      </w:pPr>
    </w:p>
    <w:p w:rsidR="00AD1BA3" w:rsidRPr="00D32D7B" w:rsidRDefault="00C00689" w:rsidP="00576257">
      <w:pPr>
        <w:rPr>
          <w:sz w:val="22"/>
          <w:lang w:val="en-US"/>
        </w:rPr>
      </w:pPr>
      <w:r w:rsidRPr="00D32D7B">
        <w:rPr>
          <w:sz w:val="22"/>
          <w:lang w:val="en-US"/>
        </w:rPr>
        <w:t>The following diagram shows a simplification</w:t>
      </w:r>
      <w:r w:rsidR="00934F10" w:rsidRPr="00D32D7B">
        <w:rPr>
          <w:sz w:val="22"/>
          <w:lang w:val="en-US"/>
        </w:rPr>
        <w:t xml:space="preserve"> of some of the main elements of the water cycle.  For simplicity, all the precipitation is assumed to fall on the soil, and from there it becomes surface runoff or infiltrates to the aquifers.  It is also assumed that all the evapotranspiration comes from the soil.  </w:t>
      </w:r>
    </w:p>
    <w:p w:rsidR="00AD1BA3" w:rsidRPr="00D32D7B" w:rsidRDefault="00AD1BA3" w:rsidP="00576257">
      <w:pPr>
        <w:rPr>
          <w:sz w:val="22"/>
          <w:lang w:val="en-US"/>
        </w:rPr>
      </w:pPr>
    </w:p>
    <w:p w:rsidR="00F61B03" w:rsidRDefault="00934F10" w:rsidP="00576257">
      <w:pPr>
        <w:rPr>
          <w:sz w:val="22"/>
          <w:lang w:val="en-US"/>
        </w:rPr>
      </w:pPr>
      <w:r w:rsidRPr="00D32D7B">
        <w:rPr>
          <w:sz w:val="22"/>
          <w:lang w:val="en-US"/>
        </w:rPr>
        <w:t>In reality the</w:t>
      </w:r>
      <w:r w:rsidR="00AD1BA3" w:rsidRPr="00D32D7B">
        <w:rPr>
          <w:sz w:val="22"/>
          <w:lang w:val="en-US"/>
        </w:rPr>
        <w:t xml:space="preserve"> flows are much more complicated.  Precipitation infiltrates and later becomes surface water.  Surface water can also feed the aquifers during a season or part of a season.</w:t>
      </w:r>
      <w:r w:rsidRPr="00D32D7B">
        <w:rPr>
          <w:sz w:val="22"/>
          <w:lang w:val="en-US"/>
        </w:rPr>
        <w:t xml:space="preserve">  All these details can be incorporated in the diagram as more data become available</w:t>
      </w:r>
      <w:r w:rsidR="00AD1BA3" w:rsidRPr="00D32D7B">
        <w:rPr>
          <w:sz w:val="22"/>
          <w:lang w:val="en-US"/>
        </w:rPr>
        <w:t>, but it is useful to start with a very simple diagram, such as the one shown below.</w:t>
      </w:r>
      <w:r w:rsidR="00F61B03" w:rsidRPr="00F61B03">
        <w:rPr>
          <w:sz w:val="22"/>
          <w:lang w:val="en-US"/>
        </w:rPr>
        <w:t xml:space="preserve"> </w:t>
      </w:r>
    </w:p>
    <w:p w:rsidR="00F61B03" w:rsidRDefault="00F61B03" w:rsidP="00576257">
      <w:pPr>
        <w:rPr>
          <w:sz w:val="22"/>
          <w:lang w:val="en-US"/>
        </w:rPr>
      </w:pPr>
    </w:p>
    <w:p w:rsidR="00F61B03" w:rsidRDefault="00F61B03" w:rsidP="00576257">
      <w:pPr>
        <w:rPr>
          <w:sz w:val="22"/>
          <w:lang w:val="en-US"/>
        </w:rPr>
      </w:pPr>
    </w:p>
    <w:p w:rsidR="00C00689" w:rsidRDefault="005D2339" w:rsidP="00576257">
      <w:pPr>
        <w:rPr>
          <w:sz w:val="22"/>
          <w:lang w:val="en-US"/>
        </w:rPr>
      </w:pPr>
      <w:r>
        <w:rPr>
          <w:noProof/>
          <w:sz w:val="22"/>
          <w:lang w:val="en-US"/>
        </w:rPr>
        <w:drawing>
          <wp:inline distT="0" distB="0" distL="0" distR="0">
            <wp:extent cx="6067425" cy="426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4267200"/>
                    </a:xfrm>
                    <a:prstGeom prst="rect">
                      <a:avLst/>
                    </a:prstGeom>
                    <a:noFill/>
                    <a:ln>
                      <a:noFill/>
                    </a:ln>
                  </pic:spPr>
                </pic:pic>
              </a:graphicData>
            </a:graphic>
          </wp:inline>
        </w:drawing>
      </w:r>
    </w:p>
    <w:p w:rsidR="001E52B9" w:rsidRPr="00D32D7B" w:rsidRDefault="001E52B9" w:rsidP="00576257">
      <w:pPr>
        <w:rPr>
          <w:sz w:val="22"/>
          <w:lang w:val="en-US"/>
        </w:rPr>
      </w:pPr>
    </w:p>
    <w:p w:rsidR="001E52B9" w:rsidRDefault="001E52B9">
      <w:r>
        <w:br w:type="page"/>
      </w:r>
    </w:p>
    <w:p w:rsidR="00C304D9" w:rsidRPr="00DD7775" w:rsidRDefault="00C304D9" w:rsidP="00C304D9">
      <w:pPr>
        <w:rPr>
          <w:sz w:val="22"/>
          <w:lang w:val="en-US"/>
        </w:rPr>
      </w:pPr>
    </w:p>
    <w:p w:rsidR="00760E04" w:rsidRPr="0003032B" w:rsidRDefault="00760E04" w:rsidP="00576257">
      <w:pPr>
        <w:rPr>
          <w:sz w:val="22"/>
          <w:lang w:val="en-US"/>
        </w:rPr>
      </w:pPr>
    </w:p>
    <w:p w:rsidR="007E0852" w:rsidRDefault="007E0852" w:rsidP="007E0852">
      <w:pPr>
        <w:rPr>
          <w:lang w:val="en-US"/>
        </w:rPr>
      </w:pPr>
      <w:r>
        <w:rPr>
          <w:b/>
          <w:sz w:val="28"/>
          <w:lang w:val="en-US"/>
        </w:rPr>
        <w:t xml:space="preserve">Symbols and </w:t>
      </w:r>
      <w:r w:rsidRPr="00016882">
        <w:rPr>
          <w:b/>
          <w:sz w:val="28"/>
          <w:lang w:val="en-US"/>
        </w:rPr>
        <w:t>A</w:t>
      </w:r>
      <w:r>
        <w:rPr>
          <w:b/>
          <w:sz w:val="28"/>
          <w:lang w:val="en-US"/>
        </w:rPr>
        <w:t>bbreviations</w:t>
      </w:r>
    </w:p>
    <w:p w:rsidR="007E0852" w:rsidRPr="00DD7775" w:rsidRDefault="007E0852" w:rsidP="007E0852">
      <w:pPr>
        <w:rPr>
          <w:sz w:val="22"/>
          <w:lang w:val="en-US"/>
        </w:rPr>
      </w:pPr>
    </w:p>
    <w:tbl>
      <w:tblPr>
        <w:tblW w:w="0" w:type="auto"/>
        <w:tblLook w:val="04A0" w:firstRow="1" w:lastRow="0" w:firstColumn="1" w:lastColumn="0" w:noHBand="0" w:noVBand="1"/>
      </w:tblPr>
      <w:tblGrid>
        <w:gridCol w:w="1638"/>
        <w:gridCol w:w="7082"/>
      </w:tblGrid>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1 hm</w:t>
            </w:r>
            <w:r w:rsidRPr="00DD7775">
              <w:rPr>
                <w:sz w:val="22"/>
                <w:vertAlign w:val="superscript"/>
                <w:lang w:val="en-US"/>
              </w:rPr>
              <w:t>3</w:t>
            </w:r>
          </w:p>
        </w:tc>
        <w:tc>
          <w:tcPr>
            <w:tcW w:w="7082" w:type="dxa"/>
            <w:shd w:val="clear" w:color="auto" w:fill="auto"/>
          </w:tcPr>
          <w:p w:rsidR="007E0852" w:rsidRPr="00DD7775" w:rsidRDefault="007E0852" w:rsidP="00F41BF0">
            <w:pPr>
              <w:rPr>
                <w:sz w:val="22"/>
                <w:lang w:val="en-US"/>
              </w:rPr>
            </w:pPr>
            <w:r w:rsidRPr="00DD7775">
              <w:rPr>
                <w:sz w:val="22"/>
                <w:lang w:val="en-US"/>
              </w:rPr>
              <w:t>1 million cubic meters = 1 gigaliter = 1 GL</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1 t</w:t>
            </w:r>
          </w:p>
          <w:p w:rsidR="007E0852" w:rsidRPr="00DD7775" w:rsidRDefault="007E0852" w:rsidP="00F41BF0">
            <w:pPr>
              <w:rPr>
                <w:sz w:val="22"/>
                <w:lang w:val="en-US"/>
              </w:rPr>
            </w:pPr>
          </w:p>
          <w:p w:rsidR="007E0852" w:rsidRPr="00DD7775" w:rsidRDefault="007E0852" w:rsidP="00F41BF0">
            <w:pPr>
              <w:rPr>
                <w:sz w:val="22"/>
                <w:lang w:val="en-US"/>
              </w:rPr>
            </w:pPr>
            <w:r w:rsidRPr="00DD7775">
              <w:rPr>
                <w:sz w:val="22"/>
                <w:lang w:val="en-US"/>
              </w:rPr>
              <w:t>CPC</w:t>
            </w:r>
          </w:p>
        </w:tc>
        <w:tc>
          <w:tcPr>
            <w:tcW w:w="7082" w:type="dxa"/>
            <w:shd w:val="clear" w:color="auto" w:fill="auto"/>
          </w:tcPr>
          <w:p w:rsidR="007E0852" w:rsidRPr="00DD7775" w:rsidRDefault="007E0852" w:rsidP="00F41BF0">
            <w:pPr>
              <w:rPr>
                <w:sz w:val="22"/>
                <w:lang w:val="en-US"/>
              </w:rPr>
            </w:pPr>
            <w:r w:rsidRPr="00DD7775">
              <w:rPr>
                <w:sz w:val="22"/>
                <w:lang w:val="en-US"/>
              </w:rPr>
              <w:t>1 metric ton = 1000 kg</w:t>
            </w:r>
          </w:p>
          <w:p w:rsidR="007E0852" w:rsidRPr="00DD7775" w:rsidRDefault="007E0852" w:rsidP="00F41BF0">
            <w:pPr>
              <w:rPr>
                <w:sz w:val="22"/>
                <w:lang w:val="en-US"/>
              </w:rPr>
            </w:pPr>
          </w:p>
          <w:p w:rsidR="007E0852" w:rsidRPr="00DD7775" w:rsidRDefault="007E0852" w:rsidP="00F41BF0">
            <w:pPr>
              <w:rPr>
                <w:sz w:val="22"/>
                <w:lang w:val="en-US"/>
              </w:rPr>
            </w:pPr>
            <w:r w:rsidRPr="00DD7775">
              <w:rPr>
                <w:sz w:val="22"/>
                <w:lang w:val="en-US"/>
              </w:rPr>
              <w:t>Central Product Classification (version 2 is used in this example).</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GCF</w:t>
            </w:r>
          </w:p>
        </w:tc>
        <w:tc>
          <w:tcPr>
            <w:tcW w:w="7082" w:type="dxa"/>
            <w:shd w:val="clear" w:color="auto" w:fill="auto"/>
          </w:tcPr>
          <w:p w:rsidR="007E0852" w:rsidRPr="00DD7775" w:rsidRDefault="007E0852" w:rsidP="00F41BF0">
            <w:pPr>
              <w:rPr>
                <w:sz w:val="22"/>
                <w:lang w:val="en-US"/>
              </w:rPr>
            </w:pPr>
            <w:r w:rsidRPr="00DD7775">
              <w:rPr>
                <w:sz w:val="22"/>
                <w:lang w:val="en-US"/>
              </w:rPr>
              <w:t>Gross Capital Formation</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GFCF</w:t>
            </w:r>
          </w:p>
        </w:tc>
        <w:tc>
          <w:tcPr>
            <w:tcW w:w="7082" w:type="dxa"/>
            <w:shd w:val="clear" w:color="auto" w:fill="auto"/>
          </w:tcPr>
          <w:p w:rsidR="007E0852" w:rsidRPr="00DD7775" w:rsidRDefault="007E0852" w:rsidP="00F41BF0">
            <w:pPr>
              <w:rPr>
                <w:sz w:val="22"/>
                <w:lang w:val="en-US"/>
              </w:rPr>
            </w:pPr>
            <w:r w:rsidRPr="00DD7775">
              <w:rPr>
                <w:sz w:val="22"/>
                <w:lang w:val="en-US"/>
              </w:rPr>
              <w:t>Gross Fixed Capital Formation</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IRWS</w:t>
            </w:r>
          </w:p>
        </w:tc>
        <w:tc>
          <w:tcPr>
            <w:tcW w:w="7082" w:type="dxa"/>
            <w:shd w:val="clear" w:color="auto" w:fill="auto"/>
          </w:tcPr>
          <w:p w:rsidR="007E0852" w:rsidRPr="00DD7775" w:rsidRDefault="007E0852" w:rsidP="00F41BF0">
            <w:pPr>
              <w:rPr>
                <w:sz w:val="22"/>
                <w:lang w:val="en-US"/>
              </w:rPr>
            </w:pPr>
            <w:r w:rsidRPr="00DD7775">
              <w:rPr>
                <w:sz w:val="22"/>
                <w:lang w:val="en-US"/>
              </w:rPr>
              <w:t>International Recommendations for Water Statistics</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ISIC</w:t>
            </w:r>
          </w:p>
        </w:tc>
        <w:tc>
          <w:tcPr>
            <w:tcW w:w="7082" w:type="dxa"/>
            <w:shd w:val="clear" w:color="auto" w:fill="auto"/>
          </w:tcPr>
          <w:p w:rsidR="007E0852" w:rsidRPr="00DD7775" w:rsidRDefault="007E0852" w:rsidP="00F41BF0">
            <w:pPr>
              <w:rPr>
                <w:sz w:val="22"/>
                <w:lang w:val="en-US"/>
              </w:rPr>
            </w:pPr>
            <w:r w:rsidRPr="00DD7775">
              <w:rPr>
                <w:sz w:val="22"/>
                <w:lang w:val="en-US"/>
              </w:rPr>
              <w:t>International Standard Industrial Classification of All Economic Activities (Revision 4 is used in this example).</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RoW</w:t>
            </w:r>
          </w:p>
        </w:tc>
        <w:tc>
          <w:tcPr>
            <w:tcW w:w="7082" w:type="dxa"/>
            <w:shd w:val="clear" w:color="auto" w:fill="auto"/>
          </w:tcPr>
          <w:p w:rsidR="007E0852" w:rsidRPr="00DD7775" w:rsidRDefault="007E0852" w:rsidP="00F41BF0">
            <w:pPr>
              <w:rPr>
                <w:sz w:val="22"/>
                <w:lang w:val="en-US"/>
              </w:rPr>
            </w:pPr>
            <w:r w:rsidRPr="00DD7775">
              <w:rPr>
                <w:sz w:val="22"/>
                <w:lang w:val="en-US"/>
              </w:rPr>
              <w:t>Rest of the World. Used to designate economies to which Unu exports products or from which Unu imports products.</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SEEA-CF</w:t>
            </w:r>
          </w:p>
        </w:tc>
        <w:tc>
          <w:tcPr>
            <w:tcW w:w="7082" w:type="dxa"/>
            <w:shd w:val="clear" w:color="auto" w:fill="auto"/>
          </w:tcPr>
          <w:p w:rsidR="007E0852" w:rsidRPr="00DD7775" w:rsidRDefault="007E0852" w:rsidP="00F41BF0">
            <w:pPr>
              <w:rPr>
                <w:sz w:val="22"/>
                <w:lang w:val="en-US"/>
              </w:rPr>
            </w:pPr>
            <w:r w:rsidRPr="00DD7775">
              <w:rPr>
                <w:sz w:val="22"/>
                <w:lang w:val="en-US"/>
              </w:rPr>
              <w:t>System of Environmental-Economic Accounts, Central Framework</w:t>
            </w:r>
          </w:p>
        </w:tc>
      </w:tr>
      <w:tr w:rsidR="007E0852" w:rsidRPr="00DD7775" w:rsidTr="00F41BF0">
        <w:tc>
          <w:tcPr>
            <w:tcW w:w="1638" w:type="dxa"/>
            <w:shd w:val="clear" w:color="auto" w:fill="auto"/>
          </w:tcPr>
          <w:p w:rsidR="007E0852" w:rsidRPr="00DD7775" w:rsidRDefault="007E0852" w:rsidP="00F41BF0">
            <w:pPr>
              <w:rPr>
                <w:sz w:val="22"/>
                <w:lang w:val="en-US"/>
              </w:rPr>
            </w:pPr>
            <w:r w:rsidRPr="00DD7775">
              <w:rPr>
                <w:sz w:val="22"/>
                <w:lang w:val="en-US"/>
              </w:rPr>
              <w:t>SEEA-Water</w:t>
            </w:r>
          </w:p>
        </w:tc>
        <w:tc>
          <w:tcPr>
            <w:tcW w:w="7082" w:type="dxa"/>
            <w:shd w:val="clear" w:color="auto" w:fill="auto"/>
          </w:tcPr>
          <w:p w:rsidR="007E0852" w:rsidRPr="00DD7775" w:rsidRDefault="007E0852" w:rsidP="00F41BF0">
            <w:pPr>
              <w:rPr>
                <w:sz w:val="22"/>
                <w:lang w:val="en-US"/>
              </w:rPr>
            </w:pPr>
            <w:r w:rsidRPr="00DD7775">
              <w:rPr>
                <w:sz w:val="22"/>
                <w:lang w:val="en-US"/>
              </w:rPr>
              <w:t>System of Environmental-Economic Accounts for Water.</w:t>
            </w:r>
          </w:p>
        </w:tc>
      </w:tr>
      <w:tr w:rsidR="007E0852" w:rsidRPr="00DD7775" w:rsidTr="00F41BF0">
        <w:trPr>
          <w:trHeight w:val="301"/>
        </w:trPr>
        <w:tc>
          <w:tcPr>
            <w:tcW w:w="1638" w:type="dxa"/>
            <w:shd w:val="clear" w:color="auto" w:fill="auto"/>
          </w:tcPr>
          <w:p w:rsidR="007E0852" w:rsidRPr="00DD7775" w:rsidRDefault="007E0852" w:rsidP="00F41BF0">
            <w:pPr>
              <w:rPr>
                <w:sz w:val="22"/>
                <w:lang w:val="en-US"/>
              </w:rPr>
            </w:pPr>
            <w:r w:rsidRPr="00DD7775">
              <w:rPr>
                <w:sz w:val="22"/>
                <w:lang w:val="en-US"/>
              </w:rPr>
              <w:t>SNA 2008</w:t>
            </w:r>
          </w:p>
        </w:tc>
        <w:tc>
          <w:tcPr>
            <w:tcW w:w="7082" w:type="dxa"/>
            <w:shd w:val="clear" w:color="auto" w:fill="auto"/>
          </w:tcPr>
          <w:p w:rsidR="007E0852" w:rsidRPr="00DD7775" w:rsidRDefault="007E0852" w:rsidP="00F41BF0">
            <w:pPr>
              <w:rPr>
                <w:sz w:val="22"/>
                <w:lang w:val="en-US"/>
              </w:rPr>
            </w:pPr>
            <w:r w:rsidRPr="00DD7775">
              <w:rPr>
                <w:sz w:val="22"/>
                <w:lang w:val="en-US"/>
              </w:rPr>
              <w:t>System of National Accounts, 2008 edition.</w:t>
            </w:r>
          </w:p>
        </w:tc>
      </w:tr>
    </w:tbl>
    <w:p w:rsidR="007E0852" w:rsidRPr="00DD7775" w:rsidRDefault="007E0852" w:rsidP="007E0852">
      <w:pPr>
        <w:rPr>
          <w:sz w:val="22"/>
          <w:lang w:val="en-US"/>
        </w:rPr>
      </w:pPr>
    </w:p>
    <w:p w:rsidR="00AD7BB9" w:rsidRDefault="00AD7BB9" w:rsidP="00AD7BB9">
      <w:pPr>
        <w:rPr>
          <w:b/>
          <w:sz w:val="28"/>
          <w:lang w:val="en-US"/>
        </w:rPr>
      </w:pPr>
      <w:r>
        <w:rPr>
          <w:b/>
          <w:sz w:val="28"/>
          <w:lang w:val="en-US"/>
        </w:rPr>
        <w:t>Module VI:  Physical supply, use, and asset tables</w:t>
      </w:r>
    </w:p>
    <w:p w:rsidR="00AD7BB9" w:rsidRDefault="00AD7BB9" w:rsidP="00AD7B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AD7BB9" w:rsidRPr="00494B4E" w:rsidTr="00297521">
        <w:tc>
          <w:tcPr>
            <w:tcW w:w="9936" w:type="dxa"/>
            <w:shd w:val="clear" w:color="auto" w:fill="auto"/>
          </w:tcPr>
          <w:p w:rsidR="00AD7BB9" w:rsidRPr="00494B4E" w:rsidRDefault="00AD7BB9" w:rsidP="00297521">
            <w:pPr>
              <w:ind w:right="224"/>
              <w:rPr>
                <w:lang w:val="en-US"/>
              </w:rPr>
            </w:pPr>
          </w:p>
          <w:p w:rsidR="00AD7BB9" w:rsidRPr="00494B4E" w:rsidRDefault="00AD7BB9" w:rsidP="00297521">
            <w:pPr>
              <w:numPr>
                <w:ilvl w:val="0"/>
                <w:numId w:val="7"/>
              </w:numPr>
              <w:ind w:right="224"/>
              <w:rPr>
                <w:lang w:val="en-US"/>
              </w:rPr>
            </w:pPr>
            <w:r w:rsidRPr="00494B4E">
              <w:rPr>
                <w:lang w:val="en-US"/>
              </w:rPr>
              <w:t xml:space="preserve">Construct the supply and use tables using the information provided in module I.   </w:t>
            </w:r>
          </w:p>
          <w:p w:rsidR="00AD7BB9" w:rsidRPr="00494B4E" w:rsidRDefault="00AD7BB9" w:rsidP="00297521">
            <w:pPr>
              <w:rPr>
                <w:lang w:val="en-US"/>
              </w:rPr>
            </w:pPr>
          </w:p>
        </w:tc>
      </w:tr>
    </w:tbl>
    <w:p w:rsidR="00AD7BB9" w:rsidRDefault="00AD7BB9" w:rsidP="00AD7BB9">
      <w:pPr>
        <w:rPr>
          <w:lang w:val="en-US"/>
        </w:rPr>
      </w:pPr>
    </w:p>
    <w:p w:rsidR="00AD7BB9" w:rsidRPr="003C6673" w:rsidRDefault="00AD7BB9" w:rsidP="00AD7BB9">
      <w:pPr>
        <w:jc w:val="both"/>
        <w:rPr>
          <w:sz w:val="22"/>
          <w:lang w:val="en-US"/>
        </w:rPr>
      </w:pPr>
      <w:r w:rsidRPr="003C6673">
        <w:rPr>
          <w:sz w:val="22"/>
          <w:lang w:val="en-US"/>
        </w:rPr>
        <w:t>The diagrams constructed in module I can be written in a tabular form.  A tabular representation of the diagrams is easier to process in a computer.  The diagrams are useful when dealing with a small number of elements, but as the number of elements in the diagrams increases, the tables become a much more efficient way of recording and sharing information.</w:t>
      </w:r>
    </w:p>
    <w:p w:rsidR="00AD7BB9" w:rsidRPr="003C6673" w:rsidRDefault="00AD7BB9" w:rsidP="00AD7BB9">
      <w:pPr>
        <w:rPr>
          <w:sz w:val="22"/>
          <w:lang w:val="en-US"/>
        </w:rPr>
      </w:pPr>
    </w:p>
    <w:p w:rsidR="00AD7BB9" w:rsidRPr="003C6673" w:rsidRDefault="00AD7BB9" w:rsidP="00AD7BB9">
      <w:pPr>
        <w:rPr>
          <w:sz w:val="22"/>
          <w:lang w:val="en-US"/>
        </w:rPr>
      </w:pPr>
      <w:r w:rsidRPr="003C6673">
        <w:rPr>
          <w:sz w:val="22"/>
          <w:lang w:val="en-US"/>
        </w:rPr>
        <w:t>The physical supply table is shown below:</w:t>
      </w:r>
    </w:p>
    <w:p w:rsidR="00AD7BB9" w:rsidRDefault="00AD7BB9" w:rsidP="00AD7BB9">
      <w:pPr>
        <w:rPr>
          <w:lang w:val="en-US"/>
        </w:rPr>
      </w:pPr>
    </w:p>
    <w:p w:rsidR="00AD7BB9" w:rsidRDefault="005D2339" w:rsidP="00AD7BB9">
      <w:pPr>
        <w:rPr>
          <w:lang w:val="en-US"/>
        </w:rPr>
      </w:pPr>
      <w:r>
        <w:rPr>
          <w:noProof/>
        </w:rPr>
        <w:lastRenderedPageBreak/>
        <w:drawing>
          <wp:inline distT="0" distB="0" distL="0" distR="0">
            <wp:extent cx="6162675" cy="3267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3267075"/>
                    </a:xfrm>
                    <a:prstGeom prst="rect">
                      <a:avLst/>
                    </a:prstGeom>
                    <a:noFill/>
                    <a:ln>
                      <a:noFill/>
                    </a:ln>
                  </pic:spPr>
                </pic:pic>
              </a:graphicData>
            </a:graphic>
          </wp:inline>
        </w:drawing>
      </w:r>
    </w:p>
    <w:p w:rsidR="00AD7BB9" w:rsidRDefault="00AD7BB9" w:rsidP="00AD7BB9">
      <w:pPr>
        <w:rPr>
          <w:lang w:val="en-US"/>
        </w:rPr>
      </w:pPr>
    </w:p>
    <w:p w:rsidR="00AD7BB9" w:rsidRPr="00EF4ECE" w:rsidRDefault="00AD7BB9" w:rsidP="00AD7BB9">
      <w:pPr>
        <w:rPr>
          <w:sz w:val="22"/>
          <w:lang w:val="en-US"/>
        </w:rPr>
      </w:pPr>
    </w:p>
    <w:p w:rsidR="00AD7BB9" w:rsidRDefault="00AD7BB9" w:rsidP="00AD7BB9">
      <w:pPr>
        <w:rPr>
          <w:sz w:val="22"/>
          <w:lang w:val="en-US"/>
        </w:rPr>
      </w:pPr>
      <w:r>
        <w:rPr>
          <w:sz w:val="22"/>
          <w:lang w:val="en-US"/>
        </w:rPr>
        <w:t xml:space="preserve">Note that the final row in the above physical supply table “Evaporation, transpiration, inclusion in products” is equivalent to Water Consumption, or Final Water Use. </w:t>
      </w:r>
    </w:p>
    <w:p w:rsidR="00AD7BB9" w:rsidRDefault="00AD7BB9" w:rsidP="00AD7BB9">
      <w:pPr>
        <w:rPr>
          <w:sz w:val="22"/>
          <w:lang w:val="en-US"/>
        </w:rPr>
      </w:pPr>
    </w:p>
    <w:p w:rsidR="00AD7BB9" w:rsidRPr="00EF4ECE" w:rsidRDefault="00AD7BB9" w:rsidP="00AD7BB9">
      <w:pPr>
        <w:rPr>
          <w:sz w:val="22"/>
          <w:lang w:val="en-US"/>
        </w:rPr>
      </w:pPr>
      <w:r>
        <w:rPr>
          <w:sz w:val="22"/>
          <w:lang w:val="en-US"/>
        </w:rPr>
        <w:br w:type="page"/>
      </w:r>
      <w:r>
        <w:rPr>
          <w:sz w:val="22"/>
          <w:lang w:val="en-US"/>
        </w:rPr>
        <w:lastRenderedPageBreak/>
        <w:t xml:space="preserve"> T</w:t>
      </w:r>
      <w:r w:rsidRPr="00EF4ECE">
        <w:rPr>
          <w:sz w:val="22"/>
          <w:lang w:val="en-US"/>
        </w:rPr>
        <w:t>he physical use table is shown below:</w:t>
      </w:r>
    </w:p>
    <w:p w:rsidR="00AD7BB9" w:rsidRPr="00EF4ECE" w:rsidRDefault="00AD7BB9" w:rsidP="00AD7BB9">
      <w:pPr>
        <w:rPr>
          <w:sz w:val="22"/>
          <w:lang w:val="en-US"/>
        </w:rPr>
      </w:pPr>
    </w:p>
    <w:p w:rsidR="00AD7BB9" w:rsidRPr="00EF4ECE" w:rsidRDefault="00AD7BB9" w:rsidP="00AD7BB9">
      <w:pPr>
        <w:rPr>
          <w:sz w:val="22"/>
          <w:lang w:val="en-US"/>
        </w:rPr>
      </w:pPr>
    </w:p>
    <w:p w:rsidR="007E0852" w:rsidRPr="00F258D1" w:rsidRDefault="005D2339" w:rsidP="00AD7BB9">
      <w:pPr>
        <w:rPr>
          <w:lang w:val="en-US"/>
        </w:rPr>
      </w:pPr>
      <w:r>
        <w:rPr>
          <w:noProof/>
        </w:rPr>
        <w:drawing>
          <wp:inline distT="0" distB="0" distL="0" distR="0">
            <wp:extent cx="6162675" cy="3228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3228975"/>
                    </a:xfrm>
                    <a:prstGeom prst="rect">
                      <a:avLst/>
                    </a:prstGeom>
                    <a:noFill/>
                    <a:ln>
                      <a:noFill/>
                    </a:ln>
                  </pic:spPr>
                </pic:pic>
              </a:graphicData>
            </a:graphic>
          </wp:inline>
        </w:drawing>
      </w:r>
    </w:p>
    <w:sectPr w:rsidR="007E0852" w:rsidRPr="00F258D1" w:rsidSect="00722E22">
      <w:footerReference w:type="default" r:id="rId14"/>
      <w:footerReference w:type="first" r:id="rId15"/>
      <w:pgSz w:w="12240" w:h="15840" w:code="1"/>
      <w:pgMar w:top="1417" w:right="1170" w:bottom="1417" w:left="13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BD4" w:rsidRDefault="00162BD4" w:rsidP="0099433F">
      <w:r>
        <w:separator/>
      </w:r>
    </w:p>
  </w:endnote>
  <w:endnote w:type="continuationSeparator" w:id="0">
    <w:p w:rsidR="00162BD4" w:rsidRDefault="00162BD4" w:rsidP="0099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43C" w:rsidRDefault="005D2339">
    <w:pPr>
      <w:pStyle w:val="Footer"/>
      <w:jc w:val="right"/>
    </w:pPr>
    <w:r>
      <w:fldChar w:fldCharType="begin"/>
    </w:r>
    <w:r>
      <w:instrText xml:space="preserve"> PAGE   \* MERGEFORMAT </w:instrText>
    </w:r>
    <w:r>
      <w:fldChar w:fldCharType="separate"/>
    </w:r>
    <w:r w:rsidR="00AD7BB9">
      <w:rPr>
        <w:noProof/>
      </w:rPr>
      <w:t>2</w:t>
    </w:r>
    <w:r>
      <w:rPr>
        <w:noProof/>
      </w:rPr>
      <w:fldChar w:fldCharType="end"/>
    </w:r>
  </w:p>
  <w:p w:rsidR="001F0B7B" w:rsidRDefault="001F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903" w:rsidRDefault="005D2339">
    <w:pPr>
      <w:pStyle w:val="Footer"/>
      <w:jc w:val="right"/>
    </w:pPr>
    <w:r>
      <w:fldChar w:fldCharType="begin"/>
    </w:r>
    <w:r>
      <w:instrText xml:space="preserve"> PAGE   \* MERGEFORMAT </w:instrText>
    </w:r>
    <w:r>
      <w:fldChar w:fldCharType="separate"/>
    </w:r>
    <w:r w:rsidR="00AD7BB9">
      <w:rPr>
        <w:noProof/>
      </w:rPr>
      <w:t>1</w:t>
    </w:r>
    <w:r>
      <w:rPr>
        <w:noProof/>
      </w:rPr>
      <w:fldChar w:fldCharType="end"/>
    </w:r>
  </w:p>
  <w:p w:rsidR="00EF3903" w:rsidRDefault="00EF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BD4" w:rsidRDefault="00162BD4" w:rsidP="0099433F">
      <w:r>
        <w:separator/>
      </w:r>
    </w:p>
  </w:footnote>
  <w:footnote w:type="continuationSeparator" w:id="0">
    <w:p w:rsidR="00162BD4" w:rsidRDefault="00162BD4" w:rsidP="0099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D30"/>
    <w:multiLevelType w:val="hybridMultilevel"/>
    <w:tmpl w:val="12780B76"/>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3ED2"/>
    <w:multiLevelType w:val="hybridMultilevel"/>
    <w:tmpl w:val="FE70915E"/>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0D55"/>
    <w:multiLevelType w:val="hybridMultilevel"/>
    <w:tmpl w:val="24949EF4"/>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C17FF"/>
    <w:multiLevelType w:val="hybridMultilevel"/>
    <w:tmpl w:val="8A7673C6"/>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534D8"/>
    <w:multiLevelType w:val="hybridMultilevel"/>
    <w:tmpl w:val="BB2AE950"/>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7E17"/>
    <w:multiLevelType w:val="hybridMultilevel"/>
    <w:tmpl w:val="7884C132"/>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643AF"/>
    <w:multiLevelType w:val="hybridMultilevel"/>
    <w:tmpl w:val="1206BF54"/>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2E8F"/>
    <w:multiLevelType w:val="hybridMultilevel"/>
    <w:tmpl w:val="C8529970"/>
    <w:lvl w:ilvl="0" w:tplc="91201A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035AD"/>
    <w:multiLevelType w:val="hybridMultilevel"/>
    <w:tmpl w:val="B7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B57EC"/>
    <w:multiLevelType w:val="hybridMultilevel"/>
    <w:tmpl w:val="6612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F4EC4"/>
    <w:multiLevelType w:val="hybridMultilevel"/>
    <w:tmpl w:val="D47E9E2C"/>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671B0"/>
    <w:multiLevelType w:val="hybridMultilevel"/>
    <w:tmpl w:val="BB2AE950"/>
    <w:lvl w:ilvl="0" w:tplc="D04EFA6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729C4"/>
    <w:multiLevelType w:val="hybridMultilevel"/>
    <w:tmpl w:val="7234B5D4"/>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779DC"/>
    <w:multiLevelType w:val="hybridMultilevel"/>
    <w:tmpl w:val="BAFC09AA"/>
    <w:lvl w:ilvl="0" w:tplc="D04EFA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0"/>
  </w:num>
  <w:num w:numId="5">
    <w:abstractNumId w:val="8"/>
  </w:num>
  <w:num w:numId="6">
    <w:abstractNumId w:val="10"/>
  </w:num>
  <w:num w:numId="7">
    <w:abstractNumId w:val="5"/>
  </w:num>
  <w:num w:numId="8">
    <w:abstractNumId w:val="9"/>
  </w:num>
  <w:num w:numId="9">
    <w:abstractNumId w:val="2"/>
  </w:num>
  <w:num w:numId="10">
    <w:abstractNumId w:val="6"/>
  </w:num>
  <w:num w:numId="11">
    <w:abstractNumId w:val="7"/>
  </w:num>
  <w:num w:numId="12">
    <w:abstractNumId w:val="11"/>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7"/>
    <w:rsid w:val="00003950"/>
    <w:rsid w:val="00016882"/>
    <w:rsid w:val="00020719"/>
    <w:rsid w:val="000228CD"/>
    <w:rsid w:val="0003032B"/>
    <w:rsid w:val="00057183"/>
    <w:rsid w:val="00073605"/>
    <w:rsid w:val="00080775"/>
    <w:rsid w:val="000841D0"/>
    <w:rsid w:val="0008643E"/>
    <w:rsid w:val="00087745"/>
    <w:rsid w:val="0009162A"/>
    <w:rsid w:val="00093E88"/>
    <w:rsid w:val="00094EF0"/>
    <w:rsid w:val="00097B78"/>
    <w:rsid w:val="000B3379"/>
    <w:rsid w:val="000B57D0"/>
    <w:rsid w:val="000B61BC"/>
    <w:rsid w:val="000C5A51"/>
    <w:rsid w:val="000D1054"/>
    <w:rsid w:val="000D163B"/>
    <w:rsid w:val="000D1D19"/>
    <w:rsid w:val="000D378A"/>
    <w:rsid w:val="000E413E"/>
    <w:rsid w:val="000F32C8"/>
    <w:rsid w:val="00107FAF"/>
    <w:rsid w:val="00111EAF"/>
    <w:rsid w:val="0012604C"/>
    <w:rsid w:val="00146A2F"/>
    <w:rsid w:val="001518CD"/>
    <w:rsid w:val="001545DE"/>
    <w:rsid w:val="00154EC3"/>
    <w:rsid w:val="00162716"/>
    <w:rsid w:val="00162BD4"/>
    <w:rsid w:val="00164656"/>
    <w:rsid w:val="00172EA1"/>
    <w:rsid w:val="00175E9A"/>
    <w:rsid w:val="00177C81"/>
    <w:rsid w:val="001919C3"/>
    <w:rsid w:val="001942D0"/>
    <w:rsid w:val="00195714"/>
    <w:rsid w:val="001A40B2"/>
    <w:rsid w:val="001A4482"/>
    <w:rsid w:val="001A4F69"/>
    <w:rsid w:val="001B5B7B"/>
    <w:rsid w:val="001C1A75"/>
    <w:rsid w:val="001C7274"/>
    <w:rsid w:val="001C7796"/>
    <w:rsid w:val="001D5D9C"/>
    <w:rsid w:val="001E0836"/>
    <w:rsid w:val="001E52B9"/>
    <w:rsid w:val="001E6E9D"/>
    <w:rsid w:val="001F0B7B"/>
    <w:rsid w:val="00206210"/>
    <w:rsid w:val="00210EFD"/>
    <w:rsid w:val="00212DA1"/>
    <w:rsid w:val="002314D8"/>
    <w:rsid w:val="00233E82"/>
    <w:rsid w:val="00234458"/>
    <w:rsid w:val="002513C5"/>
    <w:rsid w:val="002556F2"/>
    <w:rsid w:val="00267C40"/>
    <w:rsid w:val="00270C49"/>
    <w:rsid w:val="00276ACE"/>
    <w:rsid w:val="002773D5"/>
    <w:rsid w:val="00287394"/>
    <w:rsid w:val="002937DF"/>
    <w:rsid w:val="002B67FB"/>
    <w:rsid w:val="002D1CE4"/>
    <w:rsid w:val="002D1F9A"/>
    <w:rsid w:val="002D3E39"/>
    <w:rsid w:val="002E1821"/>
    <w:rsid w:val="002E29A0"/>
    <w:rsid w:val="002E4BA9"/>
    <w:rsid w:val="002E635E"/>
    <w:rsid w:val="003011E8"/>
    <w:rsid w:val="0030595D"/>
    <w:rsid w:val="00307712"/>
    <w:rsid w:val="00312D5E"/>
    <w:rsid w:val="00315A9B"/>
    <w:rsid w:val="00322551"/>
    <w:rsid w:val="00327C24"/>
    <w:rsid w:val="0033725D"/>
    <w:rsid w:val="0036425C"/>
    <w:rsid w:val="00372BE8"/>
    <w:rsid w:val="003769F6"/>
    <w:rsid w:val="003779FE"/>
    <w:rsid w:val="00383C54"/>
    <w:rsid w:val="00383F3C"/>
    <w:rsid w:val="00385F58"/>
    <w:rsid w:val="003B2118"/>
    <w:rsid w:val="003B2F62"/>
    <w:rsid w:val="003C6543"/>
    <w:rsid w:val="003C6673"/>
    <w:rsid w:val="003C6841"/>
    <w:rsid w:val="003D44AE"/>
    <w:rsid w:val="003D4F76"/>
    <w:rsid w:val="003D5D5C"/>
    <w:rsid w:val="003D7B0E"/>
    <w:rsid w:val="003E0886"/>
    <w:rsid w:val="003E33F9"/>
    <w:rsid w:val="003E7A59"/>
    <w:rsid w:val="003F533E"/>
    <w:rsid w:val="0040182C"/>
    <w:rsid w:val="004048D5"/>
    <w:rsid w:val="00406D90"/>
    <w:rsid w:val="00410C8F"/>
    <w:rsid w:val="00413B86"/>
    <w:rsid w:val="00434AB5"/>
    <w:rsid w:val="00440150"/>
    <w:rsid w:val="004442F5"/>
    <w:rsid w:val="004651FF"/>
    <w:rsid w:val="00470DC4"/>
    <w:rsid w:val="0048249F"/>
    <w:rsid w:val="004834C9"/>
    <w:rsid w:val="00486A87"/>
    <w:rsid w:val="00490769"/>
    <w:rsid w:val="00492AD0"/>
    <w:rsid w:val="00494B4E"/>
    <w:rsid w:val="00496881"/>
    <w:rsid w:val="004A031C"/>
    <w:rsid w:val="004A6FA2"/>
    <w:rsid w:val="004A7A62"/>
    <w:rsid w:val="004B2F39"/>
    <w:rsid w:val="004B33E0"/>
    <w:rsid w:val="004D1F67"/>
    <w:rsid w:val="004D5C0D"/>
    <w:rsid w:val="004E3A23"/>
    <w:rsid w:val="004E6369"/>
    <w:rsid w:val="004E773D"/>
    <w:rsid w:val="005030DC"/>
    <w:rsid w:val="00505E07"/>
    <w:rsid w:val="005071A5"/>
    <w:rsid w:val="00512A42"/>
    <w:rsid w:val="005202CE"/>
    <w:rsid w:val="005208A7"/>
    <w:rsid w:val="005234F6"/>
    <w:rsid w:val="00532B7A"/>
    <w:rsid w:val="005549AD"/>
    <w:rsid w:val="00557AAD"/>
    <w:rsid w:val="005632FB"/>
    <w:rsid w:val="0056572A"/>
    <w:rsid w:val="005712B7"/>
    <w:rsid w:val="00571BDE"/>
    <w:rsid w:val="0057624E"/>
    <w:rsid w:val="00576257"/>
    <w:rsid w:val="0057796C"/>
    <w:rsid w:val="00580D61"/>
    <w:rsid w:val="0058129C"/>
    <w:rsid w:val="00582244"/>
    <w:rsid w:val="00585B2D"/>
    <w:rsid w:val="005A1775"/>
    <w:rsid w:val="005A5392"/>
    <w:rsid w:val="005A77B0"/>
    <w:rsid w:val="005B2700"/>
    <w:rsid w:val="005C4927"/>
    <w:rsid w:val="005D2339"/>
    <w:rsid w:val="005D497F"/>
    <w:rsid w:val="005D74A9"/>
    <w:rsid w:val="005E0AF0"/>
    <w:rsid w:val="005E187B"/>
    <w:rsid w:val="005F70EB"/>
    <w:rsid w:val="0060365F"/>
    <w:rsid w:val="00605BB7"/>
    <w:rsid w:val="00621AC2"/>
    <w:rsid w:val="00623425"/>
    <w:rsid w:val="00624C10"/>
    <w:rsid w:val="00626909"/>
    <w:rsid w:val="006309F9"/>
    <w:rsid w:val="0064595F"/>
    <w:rsid w:val="006464E3"/>
    <w:rsid w:val="00655455"/>
    <w:rsid w:val="00661DE7"/>
    <w:rsid w:val="00673517"/>
    <w:rsid w:val="006805DD"/>
    <w:rsid w:val="0068521A"/>
    <w:rsid w:val="006916C2"/>
    <w:rsid w:val="006933D4"/>
    <w:rsid w:val="006A12FB"/>
    <w:rsid w:val="006A285B"/>
    <w:rsid w:val="006B2426"/>
    <w:rsid w:val="006B2510"/>
    <w:rsid w:val="006B379A"/>
    <w:rsid w:val="006D3AF0"/>
    <w:rsid w:val="006F1C84"/>
    <w:rsid w:val="00704BF5"/>
    <w:rsid w:val="007145ED"/>
    <w:rsid w:val="00722E22"/>
    <w:rsid w:val="0072660C"/>
    <w:rsid w:val="00740BB9"/>
    <w:rsid w:val="00751EA3"/>
    <w:rsid w:val="007526B1"/>
    <w:rsid w:val="00756598"/>
    <w:rsid w:val="00760E04"/>
    <w:rsid w:val="0076783B"/>
    <w:rsid w:val="00773EFB"/>
    <w:rsid w:val="007747B5"/>
    <w:rsid w:val="007776D4"/>
    <w:rsid w:val="00783F96"/>
    <w:rsid w:val="00786472"/>
    <w:rsid w:val="0079086E"/>
    <w:rsid w:val="00795205"/>
    <w:rsid w:val="007A122C"/>
    <w:rsid w:val="007B1A3C"/>
    <w:rsid w:val="007B4697"/>
    <w:rsid w:val="007B577C"/>
    <w:rsid w:val="007B71D0"/>
    <w:rsid w:val="007B7F97"/>
    <w:rsid w:val="007C7193"/>
    <w:rsid w:val="007C759D"/>
    <w:rsid w:val="007D00E8"/>
    <w:rsid w:val="007D0CB6"/>
    <w:rsid w:val="007D6195"/>
    <w:rsid w:val="007E0852"/>
    <w:rsid w:val="007F0BE6"/>
    <w:rsid w:val="007F1624"/>
    <w:rsid w:val="007F2427"/>
    <w:rsid w:val="007F31AD"/>
    <w:rsid w:val="007F4880"/>
    <w:rsid w:val="00815BCE"/>
    <w:rsid w:val="00835401"/>
    <w:rsid w:val="00836062"/>
    <w:rsid w:val="00837B92"/>
    <w:rsid w:val="00872538"/>
    <w:rsid w:val="00875246"/>
    <w:rsid w:val="00892736"/>
    <w:rsid w:val="008C27A1"/>
    <w:rsid w:val="008C3737"/>
    <w:rsid w:val="008C5EAE"/>
    <w:rsid w:val="008C6510"/>
    <w:rsid w:val="008E00C4"/>
    <w:rsid w:val="008E3C42"/>
    <w:rsid w:val="008F19BC"/>
    <w:rsid w:val="008F7A8B"/>
    <w:rsid w:val="00902031"/>
    <w:rsid w:val="009101A1"/>
    <w:rsid w:val="00913B9D"/>
    <w:rsid w:val="00916BE2"/>
    <w:rsid w:val="00924CAD"/>
    <w:rsid w:val="0092697B"/>
    <w:rsid w:val="009305AF"/>
    <w:rsid w:val="00934187"/>
    <w:rsid w:val="00934F10"/>
    <w:rsid w:val="00937277"/>
    <w:rsid w:val="00940CD7"/>
    <w:rsid w:val="00945006"/>
    <w:rsid w:val="009450D8"/>
    <w:rsid w:val="009461FA"/>
    <w:rsid w:val="00952E70"/>
    <w:rsid w:val="00955376"/>
    <w:rsid w:val="009557B4"/>
    <w:rsid w:val="009622EC"/>
    <w:rsid w:val="00962BE4"/>
    <w:rsid w:val="009632E0"/>
    <w:rsid w:val="00964D14"/>
    <w:rsid w:val="00965338"/>
    <w:rsid w:val="00965783"/>
    <w:rsid w:val="0097225E"/>
    <w:rsid w:val="00972743"/>
    <w:rsid w:val="009777BE"/>
    <w:rsid w:val="00984BD5"/>
    <w:rsid w:val="00993904"/>
    <w:rsid w:val="0099433F"/>
    <w:rsid w:val="0099561E"/>
    <w:rsid w:val="00996305"/>
    <w:rsid w:val="009A0150"/>
    <w:rsid w:val="009A0A09"/>
    <w:rsid w:val="009A7EDB"/>
    <w:rsid w:val="009C23D5"/>
    <w:rsid w:val="009D30DE"/>
    <w:rsid w:val="009D3316"/>
    <w:rsid w:val="009E4FFE"/>
    <w:rsid w:val="009E71CA"/>
    <w:rsid w:val="009E7888"/>
    <w:rsid w:val="009F00BD"/>
    <w:rsid w:val="009F5D13"/>
    <w:rsid w:val="00A026EE"/>
    <w:rsid w:val="00A05E94"/>
    <w:rsid w:val="00A06594"/>
    <w:rsid w:val="00A07CE2"/>
    <w:rsid w:val="00A16B6F"/>
    <w:rsid w:val="00A20782"/>
    <w:rsid w:val="00A30CEC"/>
    <w:rsid w:val="00A33B75"/>
    <w:rsid w:val="00A37A0E"/>
    <w:rsid w:val="00A37CC0"/>
    <w:rsid w:val="00A427D6"/>
    <w:rsid w:val="00A43F45"/>
    <w:rsid w:val="00A537DE"/>
    <w:rsid w:val="00A64E0F"/>
    <w:rsid w:val="00A70939"/>
    <w:rsid w:val="00A74A12"/>
    <w:rsid w:val="00A80409"/>
    <w:rsid w:val="00A8242F"/>
    <w:rsid w:val="00A90079"/>
    <w:rsid w:val="00AA0DA8"/>
    <w:rsid w:val="00AA5968"/>
    <w:rsid w:val="00AB26CD"/>
    <w:rsid w:val="00AB6F18"/>
    <w:rsid w:val="00AC05BB"/>
    <w:rsid w:val="00AC6B83"/>
    <w:rsid w:val="00AD1837"/>
    <w:rsid w:val="00AD1BA3"/>
    <w:rsid w:val="00AD1D81"/>
    <w:rsid w:val="00AD7BB9"/>
    <w:rsid w:val="00AE155A"/>
    <w:rsid w:val="00AE1963"/>
    <w:rsid w:val="00AE32D2"/>
    <w:rsid w:val="00AE5449"/>
    <w:rsid w:val="00AF35C6"/>
    <w:rsid w:val="00B00325"/>
    <w:rsid w:val="00B0720F"/>
    <w:rsid w:val="00B077A2"/>
    <w:rsid w:val="00B07AB2"/>
    <w:rsid w:val="00B3394F"/>
    <w:rsid w:val="00B36E2C"/>
    <w:rsid w:val="00B438C0"/>
    <w:rsid w:val="00B44819"/>
    <w:rsid w:val="00B4535C"/>
    <w:rsid w:val="00B459F2"/>
    <w:rsid w:val="00B50367"/>
    <w:rsid w:val="00B521DD"/>
    <w:rsid w:val="00B57076"/>
    <w:rsid w:val="00B57A37"/>
    <w:rsid w:val="00B57D69"/>
    <w:rsid w:val="00B64BCB"/>
    <w:rsid w:val="00B74FFB"/>
    <w:rsid w:val="00B86F7B"/>
    <w:rsid w:val="00B90B79"/>
    <w:rsid w:val="00BA26DE"/>
    <w:rsid w:val="00BA62DA"/>
    <w:rsid w:val="00BC24B6"/>
    <w:rsid w:val="00BC295F"/>
    <w:rsid w:val="00BD29BC"/>
    <w:rsid w:val="00BD5C32"/>
    <w:rsid w:val="00BE229A"/>
    <w:rsid w:val="00BF1056"/>
    <w:rsid w:val="00BF44D3"/>
    <w:rsid w:val="00C00689"/>
    <w:rsid w:val="00C06F01"/>
    <w:rsid w:val="00C0723E"/>
    <w:rsid w:val="00C11E41"/>
    <w:rsid w:val="00C1222A"/>
    <w:rsid w:val="00C27256"/>
    <w:rsid w:val="00C304D9"/>
    <w:rsid w:val="00C36EEB"/>
    <w:rsid w:val="00C435A8"/>
    <w:rsid w:val="00C54FD3"/>
    <w:rsid w:val="00C62D55"/>
    <w:rsid w:val="00C6469B"/>
    <w:rsid w:val="00C712B3"/>
    <w:rsid w:val="00C7459A"/>
    <w:rsid w:val="00C759BA"/>
    <w:rsid w:val="00C765E7"/>
    <w:rsid w:val="00C76FC2"/>
    <w:rsid w:val="00C80991"/>
    <w:rsid w:val="00C82981"/>
    <w:rsid w:val="00C82FA2"/>
    <w:rsid w:val="00C8319C"/>
    <w:rsid w:val="00C85A3B"/>
    <w:rsid w:val="00C9146A"/>
    <w:rsid w:val="00C9184C"/>
    <w:rsid w:val="00C924C8"/>
    <w:rsid w:val="00CA185C"/>
    <w:rsid w:val="00CB0F86"/>
    <w:rsid w:val="00CB18D4"/>
    <w:rsid w:val="00CC21CF"/>
    <w:rsid w:val="00CC6168"/>
    <w:rsid w:val="00CC6404"/>
    <w:rsid w:val="00CD1A17"/>
    <w:rsid w:val="00CD46FF"/>
    <w:rsid w:val="00CD49A9"/>
    <w:rsid w:val="00CE5B31"/>
    <w:rsid w:val="00CF443B"/>
    <w:rsid w:val="00D04C28"/>
    <w:rsid w:val="00D06A68"/>
    <w:rsid w:val="00D06B0F"/>
    <w:rsid w:val="00D10460"/>
    <w:rsid w:val="00D11F94"/>
    <w:rsid w:val="00D17708"/>
    <w:rsid w:val="00D202FD"/>
    <w:rsid w:val="00D22BEC"/>
    <w:rsid w:val="00D23E87"/>
    <w:rsid w:val="00D24CC2"/>
    <w:rsid w:val="00D26C25"/>
    <w:rsid w:val="00D32028"/>
    <w:rsid w:val="00D32D7B"/>
    <w:rsid w:val="00D4189C"/>
    <w:rsid w:val="00D45B5D"/>
    <w:rsid w:val="00D819BD"/>
    <w:rsid w:val="00D86656"/>
    <w:rsid w:val="00D91159"/>
    <w:rsid w:val="00D91A10"/>
    <w:rsid w:val="00D91AAF"/>
    <w:rsid w:val="00DB715B"/>
    <w:rsid w:val="00DB7BEB"/>
    <w:rsid w:val="00DC7667"/>
    <w:rsid w:val="00DD3DE1"/>
    <w:rsid w:val="00DD69D1"/>
    <w:rsid w:val="00DD7775"/>
    <w:rsid w:val="00DE2042"/>
    <w:rsid w:val="00DE26F4"/>
    <w:rsid w:val="00DF0A08"/>
    <w:rsid w:val="00DF5ABB"/>
    <w:rsid w:val="00E03D87"/>
    <w:rsid w:val="00E06725"/>
    <w:rsid w:val="00E077D5"/>
    <w:rsid w:val="00E138EA"/>
    <w:rsid w:val="00E17D5B"/>
    <w:rsid w:val="00E3518B"/>
    <w:rsid w:val="00E455F4"/>
    <w:rsid w:val="00E57B56"/>
    <w:rsid w:val="00E62529"/>
    <w:rsid w:val="00E71BD6"/>
    <w:rsid w:val="00E7718D"/>
    <w:rsid w:val="00E8770F"/>
    <w:rsid w:val="00E910F8"/>
    <w:rsid w:val="00E91814"/>
    <w:rsid w:val="00EA1108"/>
    <w:rsid w:val="00EA4A90"/>
    <w:rsid w:val="00EB45C8"/>
    <w:rsid w:val="00EC143C"/>
    <w:rsid w:val="00EC17AA"/>
    <w:rsid w:val="00EC1D9E"/>
    <w:rsid w:val="00EC66A8"/>
    <w:rsid w:val="00ED2AB4"/>
    <w:rsid w:val="00ED5A65"/>
    <w:rsid w:val="00EE67EC"/>
    <w:rsid w:val="00EF3903"/>
    <w:rsid w:val="00EF4ECE"/>
    <w:rsid w:val="00F02AD0"/>
    <w:rsid w:val="00F05465"/>
    <w:rsid w:val="00F06CF7"/>
    <w:rsid w:val="00F07D41"/>
    <w:rsid w:val="00F258D1"/>
    <w:rsid w:val="00F263CF"/>
    <w:rsid w:val="00F326E7"/>
    <w:rsid w:val="00F36324"/>
    <w:rsid w:val="00F41BF0"/>
    <w:rsid w:val="00F443FE"/>
    <w:rsid w:val="00F50F14"/>
    <w:rsid w:val="00F61B03"/>
    <w:rsid w:val="00F61D74"/>
    <w:rsid w:val="00F64E35"/>
    <w:rsid w:val="00F66347"/>
    <w:rsid w:val="00F85237"/>
    <w:rsid w:val="00F904B4"/>
    <w:rsid w:val="00F941B9"/>
    <w:rsid w:val="00F97360"/>
    <w:rsid w:val="00FA35AC"/>
    <w:rsid w:val="00FB012A"/>
    <w:rsid w:val="00FB194D"/>
    <w:rsid w:val="00FB4D2A"/>
    <w:rsid w:val="00FB6E39"/>
    <w:rsid w:val="00FC5118"/>
    <w:rsid w:val="00FD245B"/>
    <w:rsid w:val="00FD58BC"/>
    <w:rsid w:val="00FD67F5"/>
    <w:rsid w:val="00FE04DF"/>
    <w:rsid w:val="00FE0A95"/>
    <w:rsid w:val="00FF09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EA4A5A6-7855-40F7-B4B1-232EE067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257"/>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3F"/>
    <w:pPr>
      <w:tabs>
        <w:tab w:val="center" w:pos="4680"/>
        <w:tab w:val="right" w:pos="9360"/>
      </w:tabs>
    </w:pPr>
  </w:style>
  <w:style w:type="character" w:customStyle="1" w:styleId="HeaderChar">
    <w:name w:val="Header Char"/>
    <w:link w:val="Header"/>
    <w:rsid w:val="0099433F"/>
    <w:rPr>
      <w:sz w:val="24"/>
      <w:szCs w:val="24"/>
      <w:lang w:val="es-ES" w:eastAsia="es-ES"/>
    </w:rPr>
  </w:style>
  <w:style w:type="paragraph" w:styleId="Footer">
    <w:name w:val="footer"/>
    <w:basedOn w:val="Normal"/>
    <w:link w:val="FooterChar"/>
    <w:uiPriority w:val="99"/>
    <w:rsid w:val="0099433F"/>
    <w:pPr>
      <w:tabs>
        <w:tab w:val="center" w:pos="4680"/>
        <w:tab w:val="right" w:pos="9360"/>
      </w:tabs>
    </w:pPr>
  </w:style>
  <w:style w:type="character" w:customStyle="1" w:styleId="FooterChar">
    <w:name w:val="Footer Char"/>
    <w:link w:val="Footer"/>
    <w:uiPriority w:val="99"/>
    <w:rsid w:val="0099433F"/>
    <w:rPr>
      <w:sz w:val="24"/>
      <w:szCs w:val="24"/>
      <w:lang w:val="es-ES" w:eastAsia="es-ES"/>
    </w:rPr>
  </w:style>
  <w:style w:type="table" w:styleId="TableGrid">
    <w:name w:val="Table Grid"/>
    <w:basedOn w:val="TableNormal"/>
    <w:rsid w:val="0040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61BC"/>
    <w:rPr>
      <w:rFonts w:ascii="Tahoma" w:hAnsi="Tahoma" w:cs="Tahoma"/>
      <w:sz w:val="16"/>
      <w:szCs w:val="16"/>
    </w:rPr>
  </w:style>
  <w:style w:type="character" w:customStyle="1" w:styleId="BalloonTextChar">
    <w:name w:val="Balloon Text Char"/>
    <w:link w:val="BalloonText"/>
    <w:rsid w:val="000B61BC"/>
    <w:rPr>
      <w:rFonts w:ascii="Tahoma" w:hAnsi="Tahoma" w:cs="Tahoma"/>
      <w:sz w:val="16"/>
      <w:szCs w:val="16"/>
      <w:lang w:val="es-ES" w:eastAsia="es-ES"/>
    </w:rPr>
  </w:style>
  <w:style w:type="table" w:customStyle="1" w:styleId="TableGrid1">
    <w:name w:val="Table Grid1"/>
    <w:basedOn w:val="TableNormal"/>
    <w:next w:val="TableGrid"/>
    <w:uiPriority w:val="59"/>
    <w:rsid w:val="00C30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933D4"/>
    <w:rPr>
      <w:sz w:val="16"/>
      <w:szCs w:val="16"/>
    </w:rPr>
  </w:style>
  <w:style w:type="paragraph" w:styleId="CommentText">
    <w:name w:val="annotation text"/>
    <w:basedOn w:val="Normal"/>
    <w:link w:val="CommentTextChar"/>
    <w:rsid w:val="006933D4"/>
    <w:rPr>
      <w:sz w:val="20"/>
      <w:szCs w:val="20"/>
    </w:rPr>
  </w:style>
  <w:style w:type="character" w:customStyle="1" w:styleId="CommentTextChar">
    <w:name w:val="Comment Text Char"/>
    <w:link w:val="CommentText"/>
    <w:rsid w:val="006933D4"/>
    <w:rPr>
      <w:lang w:val="es-ES" w:eastAsia="es-ES"/>
    </w:rPr>
  </w:style>
  <w:style w:type="paragraph" w:styleId="CommentSubject">
    <w:name w:val="annotation subject"/>
    <w:basedOn w:val="CommentText"/>
    <w:next w:val="CommentText"/>
    <w:link w:val="CommentSubjectChar"/>
    <w:rsid w:val="006933D4"/>
    <w:rPr>
      <w:b/>
      <w:bCs/>
    </w:rPr>
  </w:style>
  <w:style w:type="character" w:customStyle="1" w:styleId="CommentSubjectChar">
    <w:name w:val="Comment Subject Char"/>
    <w:link w:val="CommentSubject"/>
    <w:rsid w:val="006933D4"/>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5975">
      <w:bodyDiv w:val="1"/>
      <w:marLeft w:val="0"/>
      <w:marRight w:val="0"/>
      <w:marTop w:val="0"/>
      <w:marBottom w:val="0"/>
      <w:divBdr>
        <w:top w:val="none" w:sz="0" w:space="0" w:color="auto"/>
        <w:left w:val="none" w:sz="0" w:space="0" w:color="auto"/>
        <w:bottom w:val="none" w:sz="0" w:space="0" w:color="auto"/>
        <w:right w:val="none" w:sz="0" w:space="0" w:color="auto"/>
      </w:divBdr>
    </w:div>
    <w:div w:id="387580912">
      <w:bodyDiv w:val="1"/>
      <w:marLeft w:val="0"/>
      <w:marRight w:val="0"/>
      <w:marTop w:val="0"/>
      <w:marBottom w:val="0"/>
      <w:divBdr>
        <w:top w:val="none" w:sz="0" w:space="0" w:color="auto"/>
        <w:left w:val="none" w:sz="0" w:space="0" w:color="auto"/>
        <w:bottom w:val="none" w:sz="0" w:space="0" w:color="auto"/>
        <w:right w:val="none" w:sz="0" w:space="0" w:color="auto"/>
      </w:divBdr>
    </w:div>
    <w:div w:id="419331795">
      <w:bodyDiv w:val="1"/>
      <w:marLeft w:val="0"/>
      <w:marRight w:val="0"/>
      <w:marTop w:val="0"/>
      <w:marBottom w:val="0"/>
      <w:divBdr>
        <w:top w:val="none" w:sz="0" w:space="0" w:color="auto"/>
        <w:left w:val="none" w:sz="0" w:space="0" w:color="auto"/>
        <w:bottom w:val="none" w:sz="0" w:space="0" w:color="auto"/>
        <w:right w:val="none" w:sz="0" w:space="0" w:color="auto"/>
      </w:divBdr>
    </w:div>
    <w:div w:id="460148358">
      <w:bodyDiv w:val="1"/>
      <w:marLeft w:val="0"/>
      <w:marRight w:val="0"/>
      <w:marTop w:val="0"/>
      <w:marBottom w:val="0"/>
      <w:divBdr>
        <w:top w:val="none" w:sz="0" w:space="0" w:color="auto"/>
        <w:left w:val="none" w:sz="0" w:space="0" w:color="auto"/>
        <w:bottom w:val="none" w:sz="0" w:space="0" w:color="auto"/>
        <w:right w:val="none" w:sz="0" w:space="0" w:color="auto"/>
      </w:divBdr>
    </w:div>
    <w:div w:id="497355737">
      <w:bodyDiv w:val="1"/>
      <w:marLeft w:val="0"/>
      <w:marRight w:val="0"/>
      <w:marTop w:val="0"/>
      <w:marBottom w:val="0"/>
      <w:divBdr>
        <w:top w:val="none" w:sz="0" w:space="0" w:color="auto"/>
        <w:left w:val="none" w:sz="0" w:space="0" w:color="auto"/>
        <w:bottom w:val="none" w:sz="0" w:space="0" w:color="auto"/>
        <w:right w:val="none" w:sz="0" w:space="0" w:color="auto"/>
      </w:divBdr>
    </w:div>
    <w:div w:id="1042437363">
      <w:bodyDiv w:val="1"/>
      <w:marLeft w:val="0"/>
      <w:marRight w:val="0"/>
      <w:marTop w:val="0"/>
      <w:marBottom w:val="0"/>
      <w:divBdr>
        <w:top w:val="none" w:sz="0" w:space="0" w:color="auto"/>
        <w:left w:val="none" w:sz="0" w:space="0" w:color="auto"/>
        <w:bottom w:val="none" w:sz="0" w:space="0" w:color="auto"/>
        <w:right w:val="none" w:sz="0" w:space="0" w:color="auto"/>
      </w:divBdr>
    </w:div>
    <w:div w:id="1092360972">
      <w:bodyDiv w:val="1"/>
      <w:marLeft w:val="0"/>
      <w:marRight w:val="0"/>
      <w:marTop w:val="0"/>
      <w:marBottom w:val="0"/>
      <w:divBdr>
        <w:top w:val="none" w:sz="0" w:space="0" w:color="auto"/>
        <w:left w:val="none" w:sz="0" w:space="0" w:color="auto"/>
        <w:bottom w:val="none" w:sz="0" w:space="0" w:color="auto"/>
        <w:right w:val="none" w:sz="0" w:space="0" w:color="auto"/>
      </w:divBdr>
    </w:div>
    <w:div w:id="1181554889">
      <w:bodyDiv w:val="1"/>
      <w:marLeft w:val="0"/>
      <w:marRight w:val="0"/>
      <w:marTop w:val="0"/>
      <w:marBottom w:val="0"/>
      <w:divBdr>
        <w:top w:val="none" w:sz="0" w:space="0" w:color="auto"/>
        <w:left w:val="none" w:sz="0" w:space="0" w:color="auto"/>
        <w:bottom w:val="none" w:sz="0" w:space="0" w:color="auto"/>
        <w:right w:val="none" w:sz="0" w:space="0" w:color="auto"/>
      </w:divBdr>
    </w:div>
    <w:div w:id="1208489799">
      <w:bodyDiv w:val="1"/>
      <w:marLeft w:val="0"/>
      <w:marRight w:val="0"/>
      <w:marTop w:val="0"/>
      <w:marBottom w:val="0"/>
      <w:divBdr>
        <w:top w:val="none" w:sz="0" w:space="0" w:color="auto"/>
        <w:left w:val="none" w:sz="0" w:space="0" w:color="auto"/>
        <w:bottom w:val="none" w:sz="0" w:space="0" w:color="auto"/>
        <w:right w:val="none" w:sz="0" w:space="0" w:color="auto"/>
      </w:divBdr>
    </w:div>
    <w:div w:id="1495997171">
      <w:bodyDiv w:val="1"/>
      <w:marLeft w:val="0"/>
      <w:marRight w:val="0"/>
      <w:marTop w:val="0"/>
      <w:marBottom w:val="0"/>
      <w:divBdr>
        <w:top w:val="none" w:sz="0" w:space="0" w:color="auto"/>
        <w:left w:val="none" w:sz="0" w:space="0" w:color="auto"/>
        <w:bottom w:val="none" w:sz="0" w:space="0" w:color="auto"/>
        <w:right w:val="none" w:sz="0" w:space="0" w:color="auto"/>
      </w:divBdr>
    </w:div>
    <w:div w:id="1686715039">
      <w:bodyDiv w:val="1"/>
      <w:marLeft w:val="0"/>
      <w:marRight w:val="0"/>
      <w:marTop w:val="0"/>
      <w:marBottom w:val="0"/>
      <w:divBdr>
        <w:top w:val="none" w:sz="0" w:space="0" w:color="auto"/>
        <w:left w:val="none" w:sz="0" w:space="0" w:color="auto"/>
        <w:bottom w:val="none" w:sz="0" w:space="0" w:color="auto"/>
        <w:right w:val="none" w:sz="0" w:space="0" w:color="auto"/>
      </w:divBdr>
    </w:div>
    <w:div w:id="1689721716">
      <w:bodyDiv w:val="1"/>
      <w:marLeft w:val="0"/>
      <w:marRight w:val="0"/>
      <w:marTop w:val="0"/>
      <w:marBottom w:val="0"/>
      <w:divBdr>
        <w:top w:val="none" w:sz="0" w:space="0" w:color="auto"/>
        <w:left w:val="none" w:sz="0" w:space="0" w:color="auto"/>
        <w:bottom w:val="none" w:sz="0" w:space="0" w:color="auto"/>
        <w:right w:val="none" w:sz="0" w:space="0" w:color="auto"/>
      </w:divBdr>
    </w:div>
    <w:div w:id="1734770232">
      <w:bodyDiv w:val="1"/>
      <w:marLeft w:val="0"/>
      <w:marRight w:val="0"/>
      <w:marTop w:val="0"/>
      <w:marBottom w:val="0"/>
      <w:divBdr>
        <w:top w:val="none" w:sz="0" w:space="0" w:color="auto"/>
        <w:left w:val="none" w:sz="0" w:space="0" w:color="auto"/>
        <w:bottom w:val="none" w:sz="0" w:space="0" w:color="auto"/>
        <w:right w:val="none" w:sz="0" w:space="0" w:color="auto"/>
      </w:divBdr>
    </w:div>
    <w:div w:id="1760057746">
      <w:bodyDiv w:val="1"/>
      <w:marLeft w:val="0"/>
      <w:marRight w:val="0"/>
      <w:marTop w:val="0"/>
      <w:marBottom w:val="0"/>
      <w:divBdr>
        <w:top w:val="none" w:sz="0" w:space="0" w:color="auto"/>
        <w:left w:val="none" w:sz="0" w:space="0" w:color="auto"/>
        <w:bottom w:val="none" w:sz="0" w:space="0" w:color="auto"/>
        <w:right w:val="none" w:sz="0" w:space="0" w:color="auto"/>
      </w:divBdr>
    </w:div>
    <w:div w:id="19542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8085-7EB1-41F4-A201-C02CFE79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21 January 2013</vt:lpstr>
    </vt:vector>
  </TitlesOfParts>
  <Company>Ricandy</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January 2013</dc:title>
  <dc:creator>Brenda Itzel Martínez Cortés</dc:creator>
  <cp:lastModifiedBy>Sayantan Banarjee</cp:lastModifiedBy>
  <cp:revision>2</cp:revision>
  <cp:lastPrinted>2014-06-12T22:23:00Z</cp:lastPrinted>
  <dcterms:created xsi:type="dcterms:W3CDTF">2018-11-09T18:44:00Z</dcterms:created>
  <dcterms:modified xsi:type="dcterms:W3CDTF">2018-11-09T18:44:00Z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1472346286</vt:i4>
  </property>
  <property fmtid="{D5CDD505-2E9C-101B-9397-08002B2CF9AE}" pid="3" name="_NewReviewCycle">
    <vt:lpwstr/>
  </property>
  <property fmtid="{D5CDD505-2E9C-101B-9397-08002B2CF9AE}" pid="4" name="_EmailSubject">
    <vt:lpwstr>solutions</vt:lpwstr>
  </property>
  <property fmtid="{D5CDD505-2E9C-101B-9397-08002B2CF9AE}" pid="5" name="_AuthorEmail">
    <vt:lpwstr>joe.stlawrence@canada.ca</vt:lpwstr>
  </property>
  <property fmtid="{D5CDD505-2E9C-101B-9397-08002B2CF9AE}" pid="6" name="_AuthorEmailDisplayName">
    <vt:lpwstr>St Lawrence, Joe (STATCAN/STATCAN)</vt:lpwstr>
  </property>
  <property fmtid="{D5CDD505-2E9C-101B-9397-08002B2CF9AE}" pid="7" name="_ReviewingToolsShownOnce">
    <vt:lpwstr/>
  </property>
</Properties>
</file>