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5921" w14:textId="77777777" w:rsidR="00BD29F4" w:rsidRDefault="003746E0" w:rsidP="003746E0">
      <w:pPr>
        <w:pStyle w:val="Heading1"/>
      </w:pPr>
      <w:r>
        <w:t xml:space="preserve">Accounting for </w:t>
      </w:r>
      <w:r w:rsidR="00006C2C">
        <w:t>Human</w:t>
      </w:r>
      <w:r w:rsidR="002E1F8C">
        <w:t xml:space="preserve"> </w:t>
      </w:r>
      <w:r>
        <w:t>Induced Flows in Nature</w:t>
      </w:r>
    </w:p>
    <w:p w14:paraId="6D7BD9D1" w14:textId="4A8DBDBF" w:rsidR="00BD29F4" w:rsidRDefault="00BD29F4" w:rsidP="00BD29F4">
      <w:pPr>
        <w:pStyle w:val="Subtitle"/>
        <w:jc w:val="center"/>
      </w:pPr>
      <w:r>
        <w:t>Matthew Chambers</w:t>
      </w:r>
      <w:r w:rsidR="006741F9">
        <w:rPr>
          <w:rStyle w:val="FootnoteReference"/>
        </w:rPr>
        <w:footnoteReference w:id="1"/>
      </w:r>
      <w:r w:rsidR="006741F9">
        <w:t>, Nils Brown</w:t>
      </w:r>
      <w:r w:rsidR="006741F9">
        <w:rPr>
          <w:rStyle w:val="FootnoteReference"/>
        </w:rPr>
        <w:footnoteReference w:id="2"/>
      </w:r>
      <w:r w:rsidR="006741F9">
        <w:t>, Kaia Oras</w:t>
      </w:r>
      <w:r w:rsidR="006741F9">
        <w:rPr>
          <w:rStyle w:val="FootnoteReference"/>
        </w:rPr>
        <w:footnoteReference w:id="3"/>
      </w:r>
      <w:r w:rsidR="006741F9">
        <w:t>, Aldo Femia</w:t>
      </w:r>
      <w:r w:rsidR="006741F9">
        <w:rPr>
          <w:rStyle w:val="FootnoteReference"/>
        </w:rPr>
        <w:footnoteReference w:id="4"/>
      </w:r>
      <w:r w:rsidR="006741F9">
        <w:t>, and Sjoerd Schenau</w:t>
      </w:r>
      <w:r w:rsidR="006741F9">
        <w:rPr>
          <w:rStyle w:val="FootnoteReference"/>
        </w:rPr>
        <w:footnoteReference w:id="5"/>
      </w:r>
    </w:p>
    <w:p w14:paraId="2F106260" w14:textId="77777777" w:rsidR="003746E0" w:rsidRDefault="003746E0" w:rsidP="002E1F8C">
      <w:pPr>
        <w:pStyle w:val="Heading2"/>
      </w:pPr>
      <w:r>
        <w:t>Introduction</w:t>
      </w:r>
    </w:p>
    <w:p w14:paraId="6C126FDD" w14:textId="23E24350" w:rsidR="008277A2" w:rsidRDefault="008277A2" w:rsidP="008277A2">
      <w:bookmarkStart w:id="0" w:name="_Ref148536736"/>
      <w:r>
        <w:t>As defined in the 2012 SEEA Central Framework (SEEA-CF), physical flows accounts include relevant physical flows “</w:t>
      </w:r>
      <w:r w:rsidRPr="003746E0">
        <w:t>(a) from the environment, (b) within the economy and (c) back to the environment</w:t>
      </w:r>
      <w:r>
        <w:t>” (SEEA-CF 3.10). Flows occurring within the environment</w:t>
      </w:r>
      <w:r>
        <w:rPr>
          <w:rStyle w:val="FootnoteReference"/>
        </w:rPr>
        <w:footnoteReference w:id="6"/>
      </w:r>
      <w:r>
        <w:t xml:space="preserve"> are specifically excluded (SEEA-CF 3.23), though it is acknowledged that recording these flows may be “useful for analytical purposes.” There are several borderline cases here, where it is not clear if a flow occurs within the economy or in the environment, and or whether a flow crosses the economy-environment boundary. In particular there are certain flows that occur within the environment but are clearly human induced. Some of these cases are discussed </w:t>
      </w:r>
      <w:r w:rsidR="006741F9">
        <w:t>briefly in the</w:t>
      </w:r>
      <w:r>
        <w:t xml:space="preserve"> SEEA CF 2012. It is worthwhile to revisit some of these issues to provide more clarification and guidelines than currently included in the current SEEA CF, or to propose an alternative treatment. Also, from a policy perspective, some of these flows (e.g. LULUCF, carbon capture and storage) are receiving more attention, and accordingly we should review their inclusion (or exclusion) in the SEEA accounting framework. </w:t>
      </w:r>
    </w:p>
    <w:p w14:paraId="1A5A5CA9" w14:textId="77777777" w:rsidR="008277A2" w:rsidRDefault="008277A2" w:rsidP="008277A2"/>
    <w:p w14:paraId="17A17E1D" w14:textId="77777777" w:rsidR="008277A2" w:rsidRDefault="008277A2" w:rsidP="008277A2">
      <w:r>
        <w:t>This document outlines a framework for recording a subset of these flows—those induced by human economic activity—in the physical supply-use tables, and proposes incorporating this into the next update of the SEEA-CF. The issues discussed in this paper directly contribute to the following issues in the SEEA CF update issue list:</w:t>
      </w:r>
    </w:p>
    <w:p w14:paraId="296FD349" w14:textId="77777777" w:rsidR="008277A2" w:rsidRDefault="008277A2" w:rsidP="008277A2"/>
    <w:p w14:paraId="42096C90" w14:textId="77777777" w:rsidR="008277A2" w:rsidRDefault="008277A2" w:rsidP="008277A2">
      <w:pPr>
        <w:pStyle w:val="ListParagraph"/>
        <w:numPr>
          <w:ilvl w:val="0"/>
          <w:numId w:val="17"/>
        </w:numPr>
        <w:spacing w:before="0" w:line="360" w:lineRule="exact"/>
        <w:contextualSpacing/>
      </w:pPr>
      <w:r w:rsidRPr="00DB507E">
        <w:rPr>
          <w:b/>
        </w:rPr>
        <w:t>B3: Inclusion of LULUCF in air emission accounts</w:t>
      </w:r>
      <w:r>
        <w:rPr>
          <w:b/>
        </w:rPr>
        <w:t>.</w:t>
      </w:r>
      <w:r>
        <w:t xml:space="preserve"> </w:t>
      </w:r>
      <w:r w:rsidRPr="00DB507E">
        <w:t>Emissions related to land use, land use change and forestry (LULUCF) are not part of the SEEA CF air emission accounts. However, these emissions may be (partly) included in the accounts. In addition, consideration may be given to including carbon sequestration in the accounts (by extending the use table).</w:t>
      </w:r>
    </w:p>
    <w:p w14:paraId="7E96B05E" w14:textId="77777777" w:rsidR="008277A2" w:rsidRDefault="008277A2" w:rsidP="008277A2">
      <w:pPr>
        <w:pStyle w:val="ListParagraph"/>
        <w:numPr>
          <w:ilvl w:val="0"/>
          <w:numId w:val="17"/>
        </w:numPr>
        <w:spacing w:before="0" w:line="360" w:lineRule="exact"/>
        <w:contextualSpacing/>
      </w:pPr>
      <w:r w:rsidRPr="00DB507E">
        <w:rPr>
          <w:b/>
        </w:rPr>
        <w:lastRenderedPageBreak/>
        <w:t>B4: Inclusion of carbon flows.</w:t>
      </w:r>
      <w:r>
        <w:t xml:space="preserve"> </w:t>
      </w:r>
      <w:r w:rsidRPr="00DB507E">
        <w:t xml:space="preserve">Some flows of carbon are not captured in detail in the SEEA CF, and the air emission account is usually compiled only as a supply of emissions. However, it is possible that more detailed flows of carbon could be included in the SEEA CF. For instance, carbon capture and storage </w:t>
      </w:r>
      <w:proofErr w:type="gramStart"/>
      <w:r w:rsidRPr="00DB507E">
        <w:t>is</w:t>
      </w:r>
      <w:proofErr w:type="gramEnd"/>
      <w:r w:rsidRPr="00DB507E">
        <w:t xml:space="preserve"> the end-of-pipe solution to reduce or stabilize carbon emissions from economic processes, but removal of carbon emission through such economic process by industry is currently not recorded in the SEEA CF (e.g., air emission accounts).</w:t>
      </w:r>
    </w:p>
    <w:p w14:paraId="75F9011A" w14:textId="77777777" w:rsidR="008277A2" w:rsidRDefault="008277A2" w:rsidP="008277A2">
      <w:pPr>
        <w:pStyle w:val="ListParagraph"/>
        <w:numPr>
          <w:ilvl w:val="0"/>
          <w:numId w:val="17"/>
        </w:numPr>
        <w:spacing w:before="0" w:line="360" w:lineRule="exact"/>
        <w:contextualSpacing/>
      </w:pPr>
      <w:r>
        <w:rPr>
          <w:b/>
        </w:rPr>
        <w:t>B12:</w:t>
      </w:r>
      <w:r>
        <w:t xml:space="preserve"> </w:t>
      </w:r>
      <w:r w:rsidRPr="009619C9">
        <w:rPr>
          <w:b/>
        </w:rPr>
        <w:t>Borderline cases for the production boundary</w:t>
      </w:r>
      <w:r>
        <w:t>.</w:t>
      </w:r>
      <w:r w:rsidRPr="009619C9">
        <w:t xml:space="preserve"> The SEEA CF could provide clearer explanation of the boundary of the economy and environment, including on recommendations for the treatment of borderline cases such as landfill and mine environments, as well as the treatment of natural inputs related to agricultural production in economy-wide material flow accounts.</w:t>
      </w:r>
    </w:p>
    <w:p w14:paraId="6CAC457E" w14:textId="77777777" w:rsidR="008277A2" w:rsidRDefault="008277A2" w:rsidP="008277A2"/>
    <w:p w14:paraId="50F2436E" w14:textId="05090419" w:rsidR="00746057" w:rsidRDefault="008277A2" w:rsidP="003454E9">
      <w:r>
        <w:t xml:space="preserve">Section 2 gives specific cases of flows that occur within the environment as indirect but meaningful effects of human economic activity, referred to as </w:t>
      </w:r>
      <w:r>
        <w:rPr>
          <w:i/>
          <w:iCs/>
        </w:rPr>
        <w:t>human-induced flows in nature</w:t>
      </w:r>
      <w:r>
        <w:t xml:space="preserve">, and discusses why recording these flows could be desirable. Section </w:t>
      </w:r>
      <w:r>
        <w:fldChar w:fldCharType="begin"/>
      </w:r>
      <w:r>
        <w:instrText xml:space="preserve"> REF _Ref148707060 \r \h </w:instrText>
      </w:r>
      <w:r>
        <w:fldChar w:fldCharType="separate"/>
      </w:r>
      <w:r>
        <w:t>3</w:t>
      </w:r>
      <w:r>
        <w:fldChar w:fldCharType="end"/>
      </w:r>
      <w:r>
        <w:t xml:space="preserve"> outlines the proposed extension for recording these flows in the physical supply-use tables. Section </w:t>
      </w:r>
      <w:r>
        <w:fldChar w:fldCharType="begin"/>
      </w:r>
      <w:r>
        <w:instrText xml:space="preserve"> REF _Ref148707074 \r \h </w:instrText>
      </w:r>
      <w:r>
        <w:fldChar w:fldCharType="separate"/>
      </w:r>
      <w:r>
        <w:t>4</w:t>
      </w:r>
      <w:r>
        <w:fldChar w:fldCharType="end"/>
      </w:r>
      <w:r>
        <w:t xml:space="preserve"> uses the examples given in section </w:t>
      </w:r>
      <w:r>
        <w:fldChar w:fldCharType="begin"/>
      </w:r>
      <w:r>
        <w:instrText xml:space="preserve"> REF _Ref148536736 \r \h </w:instrText>
      </w:r>
      <w:r>
        <w:fldChar w:fldCharType="separate"/>
      </w:r>
      <w:r>
        <w:t>2</w:t>
      </w:r>
      <w:r>
        <w:fldChar w:fldCharType="end"/>
      </w:r>
      <w:r>
        <w:t xml:space="preserve"> to illustrate applications of this framework.</w:t>
      </w:r>
      <w:r w:rsidR="00B80CFD">
        <w:t xml:space="preserve"> </w:t>
      </w:r>
      <w:bookmarkEnd w:id="0"/>
      <w:r w:rsidR="00746057" w:rsidRPr="003670A1">
        <w:t xml:space="preserve">Section 5 </w:t>
      </w:r>
      <w:r w:rsidR="003670A1" w:rsidRPr="003670A1">
        <w:t>presents a numeric example</w:t>
      </w:r>
      <w:r w:rsidR="00064DD8">
        <w:t xml:space="preserve"> integrating LULUCF carbon sequestration into the air emissions account</w:t>
      </w:r>
      <w:r w:rsidR="003670A1" w:rsidRPr="003670A1">
        <w:t xml:space="preserve"> using data from Estonia</w:t>
      </w:r>
      <w:r w:rsidR="00746057" w:rsidRPr="003670A1">
        <w:t>.</w:t>
      </w:r>
      <w:r w:rsidR="00746057">
        <w:t xml:space="preserve"> </w:t>
      </w:r>
      <w:r w:rsidR="0041129C">
        <w:t>Section 6 presents conclusions and recommendations.</w:t>
      </w:r>
    </w:p>
    <w:p w14:paraId="1D4E958A" w14:textId="3D741C0A" w:rsidR="009175EF" w:rsidRDefault="00526810" w:rsidP="00B136D7">
      <w:pPr>
        <w:pStyle w:val="Heading2"/>
      </w:pPr>
      <w:r>
        <w:t>Cases of human-induced flows</w:t>
      </w:r>
    </w:p>
    <w:p w14:paraId="10238C8A" w14:textId="6DE57EAD" w:rsidR="00B136D7" w:rsidRDefault="00A26B3A" w:rsidP="00B136D7">
      <w:r>
        <w:t xml:space="preserve">Four </w:t>
      </w:r>
      <w:r w:rsidR="00B136D7">
        <w:t>specific cases</w:t>
      </w:r>
      <w:r w:rsidR="00DE6DCE">
        <w:t xml:space="preserve"> (listed A to </w:t>
      </w:r>
      <w:r>
        <w:t xml:space="preserve">D </w:t>
      </w:r>
      <w:r w:rsidR="00DE6DCE">
        <w:t>in subheadings below)</w:t>
      </w:r>
      <w:r w:rsidR="00B136D7">
        <w:t xml:space="preserve"> are presented here of physical flows that:</w:t>
      </w:r>
    </w:p>
    <w:p w14:paraId="3ED3536A" w14:textId="77777777" w:rsidR="00B136D7" w:rsidRDefault="00B136D7" w:rsidP="00B136D7">
      <w:pPr>
        <w:pStyle w:val="ListParagraph"/>
        <w:numPr>
          <w:ilvl w:val="0"/>
          <w:numId w:val="9"/>
        </w:numPr>
      </w:pPr>
      <w:r>
        <w:t>occur within the environment.</w:t>
      </w:r>
    </w:p>
    <w:p w14:paraId="4C33D5B6" w14:textId="77777777" w:rsidR="00B136D7" w:rsidRDefault="00B136D7" w:rsidP="00B136D7">
      <w:pPr>
        <w:pStyle w:val="ListParagraph"/>
        <w:numPr>
          <w:ilvl w:val="0"/>
          <w:numId w:val="9"/>
        </w:numPr>
      </w:pPr>
      <w:r>
        <w:t>are the result of human activity.</w:t>
      </w:r>
    </w:p>
    <w:p w14:paraId="7B9A768A" w14:textId="77777777" w:rsidR="00B136D7" w:rsidRDefault="00B136D7" w:rsidP="00B136D7">
      <w:pPr>
        <w:pStyle w:val="ListParagraph"/>
        <w:numPr>
          <w:ilvl w:val="0"/>
          <w:numId w:val="9"/>
        </w:numPr>
      </w:pPr>
      <w:r>
        <w:t>have meaningful, policy-relevant impacts.</w:t>
      </w:r>
    </w:p>
    <w:p w14:paraId="6FC27AA6" w14:textId="77777777" w:rsidR="00B136D7" w:rsidRDefault="00B136D7" w:rsidP="00B136D7">
      <w:pPr>
        <w:pStyle w:val="ListParagraph"/>
        <w:numPr>
          <w:ilvl w:val="0"/>
          <w:numId w:val="9"/>
        </w:numPr>
      </w:pPr>
      <w:bookmarkStart w:id="1" w:name="_Ref148947311"/>
      <w:r>
        <w:t>are not currently included in SEEA-CF accounts (generally).</w:t>
      </w:r>
      <w:bookmarkEnd w:id="1"/>
    </w:p>
    <w:p w14:paraId="1E6C74AE" w14:textId="6D8254DA" w:rsidR="009175EF" w:rsidRDefault="00B136D7" w:rsidP="00B55771">
      <w:r>
        <w:t>In each case, point 1 (that these flows occur within the environment) is the primary argument against the inclusion of the relevant flows in the physical supply and use tables (PSUTs) of the environmental accounts, while points 2 and 3 (these flows result from human activity and have meaningful, policy-relevant impacts) support their inclusion in some fashion. Example A considers flows which are typically excluded from SEEA-CF accounts due to a lack of clear guidance on how/whether they should be included, while examples B</w:t>
      </w:r>
      <w:r w:rsidR="004F3375">
        <w:t>,</w:t>
      </w:r>
      <w:r>
        <w:t xml:space="preserve"> C</w:t>
      </w:r>
      <w:r w:rsidR="004F3375">
        <w:t>, and D</w:t>
      </w:r>
      <w:r>
        <w:t xml:space="preserve"> consider examples which are explicitly excluded from the accounts under SEEA-CF (SEEA 3.244, 3.241).</w:t>
      </w:r>
    </w:p>
    <w:p w14:paraId="6D0C6B89" w14:textId="77777777" w:rsidR="00403C71" w:rsidRPr="003454E9" w:rsidRDefault="00403C71" w:rsidP="00B55771"/>
    <w:p w14:paraId="3F70E08C" w14:textId="4D4A2859" w:rsidR="002E1F8C" w:rsidRDefault="00CF7D91" w:rsidP="00CF7D91">
      <w:pPr>
        <w:pStyle w:val="Heading3"/>
      </w:pPr>
      <w:bookmarkStart w:id="2" w:name="_Ref148947332"/>
      <w:r>
        <w:lastRenderedPageBreak/>
        <w:t>Land Use, Land Use Change, and Forestry</w:t>
      </w:r>
      <w:bookmarkEnd w:id="2"/>
      <w:r w:rsidR="00127208">
        <w:t xml:space="preserve"> related carbon </w:t>
      </w:r>
      <w:proofErr w:type="gramStart"/>
      <w:r w:rsidR="00127208">
        <w:t>flows</w:t>
      </w:r>
      <w:proofErr w:type="gramEnd"/>
    </w:p>
    <w:p w14:paraId="1D7C4381" w14:textId="361A4F8C" w:rsidR="001F1D44" w:rsidRDefault="00127208" w:rsidP="00CF7D91">
      <w:r w:rsidRPr="0070448E">
        <w:t xml:space="preserve">Human activities impact terrestrial </w:t>
      </w:r>
      <w:r>
        <w:t xml:space="preserve">carbon </w:t>
      </w:r>
      <w:r w:rsidRPr="0070448E">
        <w:t>sinks through land use, land-use change</w:t>
      </w:r>
      <w:r w:rsidR="00B136D7">
        <w:t>,</w:t>
      </w:r>
      <w:r w:rsidRPr="0070448E">
        <w:t xml:space="preserve"> and forestry</w:t>
      </w:r>
      <w:r w:rsidR="00B136D7">
        <w:t>.</w:t>
      </w:r>
      <w:r w:rsidRPr="0070448E">
        <w:t xml:space="preserve"> </w:t>
      </w:r>
      <w:r w:rsidR="00B136D7">
        <w:t>These impacts alter</w:t>
      </w:r>
      <w:r w:rsidRPr="0070448E">
        <w:t xml:space="preserve"> the exchange of CO</w:t>
      </w:r>
      <w:r w:rsidRPr="00B136D7">
        <w:rPr>
          <w:vertAlign w:val="subscript"/>
        </w:rPr>
        <w:t>2</w:t>
      </w:r>
      <w:r w:rsidRPr="0070448E">
        <w:t xml:space="preserve"> between the terrestrial biosphere and the atmosphere </w:t>
      </w:r>
      <w:r w:rsidR="00B136D7">
        <w:t>(the carbon cycle)</w:t>
      </w:r>
      <w:r w:rsidRPr="0070448E">
        <w:t>.</w:t>
      </w:r>
      <w:r>
        <w:t xml:space="preserve"> L</w:t>
      </w:r>
      <w:r w:rsidRPr="0070448E">
        <w:t>and use, land-us</w:t>
      </w:r>
      <w:r>
        <w:t xml:space="preserve">e </w:t>
      </w:r>
      <w:r w:rsidR="00B136D7">
        <w:t>change,</w:t>
      </w:r>
      <w:r>
        <w:t xml:space="preserve"> and forestry (LULUCF) is a sector defined by IPCC, that looks at both carbon emissions and carbon sequestration related to </w:t>
      </w:r>
      <w:r w:rsidR="00624E49">
        <w:t>human use (and changes in use) of land</w:t>
      </w:r>
      <w:r>
        <w:t xml:space="preserve">. </w:t>
      </w:r>
      <w:r w:rsidR="00FC1FDD">
        <w:t xml:space="preserve">For example, </w:t>
      </w:r>
      <w:r w:rsidR="003608F9">
        <w:t>biomass</w:t>
      </w:r>
      <w:r w:rsidR="009A020A">
        <w:t xml:space="preserve"> growth </w:t>
      </w:r>
      <w:r w:rsidR="003608F9">
        <w:t xml:space="preserve">in forests or other ecosystems </w:t>
      </w:r>
      <w:r w:rsidR="009A020A">
        <w:t>removes carbon dioxide</w:t>
      </w:r>
      <w:r w:rsidR="003608F9">
        <w:t>;</w:t>
      </w:r>
      <w:r w:rsidR="009A020A">
        <w:t xml:space="preserve"> forest fires emit carbon dioxide</w:t>
      </w:r>
      <w:r w:rsidR="003608F9">
        <w:t xml:space="preserve"> through burning;</w:t>
      </w:r>
      <w:r w:rsidR="009A020A">
        <w:t xml:space="preserve"> and drained </w:t>
      </w:r>
      <w:r w:rsidR="00EF18AB">
        <w:t>pea</w:t>
      </w:r>
      <w:r w:rsidR="009A020A">
        <w:t>tland</w:t>
      </w:r>
      <w:r w:rsidR="003608F9">
        <w:t xml:space="preserve">s </w:t>
      </w:r>
      <w:r w:rsidR="009A020A">
        <w:t xml:space="preserve">release </w:t>
      </w:r>
      <w:r w:rsidR="00F30DC1">
        <w:t>GHGs</w:t>
      </w:r>
      <w:r w:rsidR="003608F9">
        <w:t xml:space="preserve"> as organic soils dry out and break down</w:t>
      </w:r>
      <w:r w:rsidR="00FC1FDD">
        <w:t xml:space="preserve">. </w:t>
      </w:r>
      <w:r w:rsidR="00624E49">
        <w:t>Human management of</w:t>
      </w:r>
      <w:r w:rsidR="00FC1FDD">
        <w:t xml:space="preserve"> these activities, particularly in forests, to increase net </w:t>
      </w:r>
      <w:r w:rsidR="00F30DC1">
        <w:t>GHG</w:t>
      </w:r>
      <w:r w:rsidR="00FC1FDD">
        <w:t xml:space="preserve"> removals is currently one of the primary pathways for </w:t>
      </w:r>
      <w:r w:rsidR="00E77C76">
        <w:t xml:space="preserve">countries to </w:t>
      </w:r>
      <w:r w:rsidR="00FC1FDD">
        <w:t>reduc</w:t>
      </w:r>
      <w:r w:rsidR="00E77C76">
        <w:t xml:space="preserve">e </w:t>
      </w:r>
      <w:r w:rsidR="00FC1FDD">
        <w:t xml:space="preserve">the current </w:t>
      </w:r>
      <w:r w:rsidR="00F30DC1">
        <w:t>GHG</w:t>
      </w:r>
      <w:r w:rsidR="00FC1FDD">
        <w:t xml:space="preserve"> burden</w:t>
      </w:r>
      <w:r w:rsidR="00E77C76">
        <w:t>, resulting in a strong policy demand for recording these flows.</w:t>
      </w:r>
    </w:p>
    <w:p w14:paraId="1B174D37" w14:textId="67F9FEFC" w:rsidR="00EF18AB" w:rsidRDefault="00EF18AB" w:rsidP="00CF7D91"/>
    <w:p w14:paraId="7CB7F8BD" w14:textId="74E2A8C6" w:rsidR="00EF18AB" w:rsidRDefault="00EF18AB" w:rsidP="00CF7D91">
      <w:r>
        <w:t xml:space="preserve">Determining whether/how to record </w:t>
      </w:r>
      <w:r w:rsidR="00F30DC1">
        <w:t>GHG</w:t>
      </w:r>
      <w:r>
        <w:t xml:space="preserve"> flows from LULUCF </w:t>
      </w:r>
      <w:r w:rsidR="00590BAA">
        <w:t xml:space="preserve">in the PSUTs of SEEA </w:t>
      </w:r>
      <w:r>
        <w:t xml:space="preserve">is complicated by the fact that many land management activities are not undertaken for the purpose of producing economic goods or services for consumption. In fact, a </w:t>
      </w:r>
      <w:r w:rsidR="00990D3E">
        <w:t xml:space="preserve">significant proportion </w:t>
      </w:r>
      <w:r>
        <w:t xml:space="preserve">of land management </w:t>
      </w:r>
      <w:r w:rsidR="00990D3E">
        <w:t xml:space="preserve">activities </w:t>
      </w:r>
      <w:r>
        <w:t>ha</w:t>
      </w:r>
      <w:r w:rsidR="00990D3E">
        <w:t>ve</w:t>
      </w:r>
      <w:r>
        <w:t xml:space="preserve"> precisely the opposite goal: to prevent the use of land for </w:t>
      </w:r>
      <w:r w:rsidR="00990D3E">
        <w:t xml:space="preserve">one or more </w:t>
      </w:r>
      <w:r>
        <w:t>economic purposes.</w:t>
      </w:r>
      <w:r w:rsidR="00990D3E">
        <w:t xml:space="preserve"> There is therefore some risk of blurring the boundary between economy and environment if these </w:t>
      </w:r>
      <w:r w:rsidR="00B03558">
        <w:t>flows</w:t>
      </w:r>
      <w:r w:rsidR="00990D3E">
        <w:t xml:space="preserve"> are included</w:t>
      </w:r>
      <w:r w:rsidR="00B03558">
        <w:t xml:space="preserve"> in the environmental accounts</w:t>
      </w:r>
      <w:r w:rsidR="009877B5">
        <w:t xml:space="preserve"> (see </w:t>
      </w:r>
      <w:r w:rsidR="009877B5">
        <w:rPr>
          <w:noProof/>
        </w:rPr>
        <w:t xml:space="preserve">Schenau, 2023 for </w:t>
      </w:r>
      <w:r w:rsidR="00342367">
        <w:rPr>
          <w:noProof/>
        </w:rPr>
        <w:t>a fuller</w:t>
      </w:r>
      <w:r w:rsidR="009877B5">
        <w:rPr>
          <w:noProof/>
        </w:rPr>
        <w:t xml:space="preserve"> discussion of this topic)</w:t>
      </w:r>
      <w:r w:rsidR="00990D3E">
        <w:t xml:space="preserve">. </w:t>
      </w:r>
    </w:p>
    <w:p w14:paraId="19491C58" w14:textId="78BC20E6" w:rsidR="00693D8E" w:rsidRDefault="00693D8E" w:rsidP="00693D8E">
      <w:pPr>
        <w:pStyle w:val="Heading3"/>
      </w:pPr>
      <w:r>
        <w:t>Carbon capture and storage</w:t>
      </w:r>
    </w:p>
    <w:p w14:paraId="419FD8DE" w14:textId="77777777" w:rsidR="00693D8E" w:rsidRDefault="00693D8E" w:rsidP="00693D8E">
      <w:r w:rsidRPr="00F00043">
        <w:t>Carbon Dioxide Removal (CDR) refers to “anthropogenic activities removing CO</w:t>
      </w:r>
      <w:r w:rsidRPr="00D35E33">
        <w:rPr>
          <w:vertAlign w:val="subscript"/>
        </w:rPr>
        <w:t>2</w:t>
      </w:r>
      <w:r w:rsidRPr="00F00043">
        <w:t xml:space="preserve"> from the atmosphere and durably storing it in geological, terrestrial, or ocean reservoirs, or in products” (IPCC). Removals can 1) accelerate the reduction of net emissions (immediately), 2) counterbalance ‘hard-to-abate’ emissions (near-term), and 3) deliver net negative emissions (long-term).</w:t>
      </w:r>
    </w:p>
    <w:p w14:paraId="6482AA6F" w14:textId="77777777" w:rsidR="00693D8E" w:rsidRDefault="00693D8E" w:rsidP="00693D8E"/>
    <w:p w14:paraId="588E06C0" w14:textId="74F37CD0" w:rsidR="00693D8E" w:rsidRPr="00693D8E" w:rsidRDefault="00693D8E" w:rsidP="00693D8E">
      <w:r>
        <w:t xml:space="preserve">When carbon dioxide is directly removed from the atmosphere and captured in </w:t>
      </w:r>
      <w:r w:rsidRPr="008C0A5D">
        <w:t>geological, terrestrial, or ocean reservoirs</w:t>
      </w:r>
      <w:r>
        <w:t xml:space="preserve">, in principle it does not enter the economy and is thus a human induced flow within the environment. Although </w:t>
      </w:r>
      <w:r w:rsidRPr="008C0A5D">
        <w:t>CDR’s deployment is currently facing many obstacles and legitimate questions around how it can be developed and maintained as an effective, ethical, and scalable mea</w:t>
      </w:r>
      <w:r>
        <w:t>ns of addressing climate change, it may become important in the near future.</w:t>
      </w:r>
    </w:p>
    <w:p w14:paraId="68632449" w14:textId="5736601E" w:rsidR="002E1F8C" w:rsidRDefault="00833834" w:rsidP="00CF7D91">
      <w:pPr>
        <w:pStyle w:val="Heading3"/>
      </w:pPr>
      <w:bookmarkStart w:id="3" w:name="_Ref148947466"/>
      <w:r>
        <w:t xml:space="preserve">Secondary </w:t>
      </w:r>
      <w:r w:rsidR="002E1F8C">
        <w:t xml:space="preserve">Fine </w:t>
      </w:r>
      <w:r w:rsidR="001F3DFA">
        <w:t>P</w:t>
      </w:r>
      <w:r w:rsidR="002E1F8C">
        <w:t xml:space="preserve">article </w:t>
      </w:r>
      <w:r w:rsidR="001F3DFA">
        <w:t>A</w:t>
      </w:r>
      <w:r w:rsidR="002E1F8C">
        <w:t xml:space="preserve">ir </w:t>
      </w:r>
      <w:r w:rsidR="001F3DFA">
        <w:t>P</w:t>
      </w:r>
      <w:r w:rsidR="002E1F8C">
        <w:t>ollution (PM 2.5)</w:t>
      </w:r>
      <w:bookmarkEnd w:id="3"/>
    </w:p>
    <w:p w14:paraId="0E9F1B8A" w14:textId="4AF54A7F" w:rsidR="00F30DC1" w:rsidRDefault="00CF7D91" w:rsidP="00CF7D91">
      <w:r>
        <w:t>Fine particulate matter (PM 2.5)</w:t>
      </w:r>
      <w:r w:rsidR="00F30DC1">
        <w:t xml:space="preserve"> is an important non-GHG air pollutant, with a variety of serious health impacts, both acute and chronic. Ambient PM 2.5 consists of both</w:t>
      </w:r>
      <w:r>
        <w:t xml:space="preserve"> </w:t>
      </w:r>
      <w:r>
        <w:rPr>
          <w:i/>
          <w:iCs/>
        </w:rPr>
        <w:t>primary</w:t>
      </w:r>
      <w:r>
        <w:t xml:space="preserve"> PM 2.5, emitted directly as </w:t>
      </w:r>
      <w:r w:rsidR="009E527A">
        <w:t xml:space="preserve">solid or liquid </w:t>
      </w:r>
      <w:r>
        <w:t xml:space="preserve">particles or as hot vapors that condense into particles upon cooling, and </w:t>
      </w:r>
      <w:r>
        <w:rPr>
          <w:i/>
          <w:iCs/>
        </w:rPr>
        <w:t>secondary</w:t>
      </w:r>
      <w:r>
        <w:t xml:space="preserve"> PM </w:t>
      </w:r>
      <w:r>
        <w:lastRenderedPageBreak/>
        <w:t>2.5, formed in the atmosphere through</w:t>
      </w:r>
      <w:r w:rsidR="00CD09A6">
        <w:t xml:space="preserve"> </w:t>
      </w:r>
      <w:r w:rsidR="009E527A">
        <w:t>chemical reactions between various gases, including sulfur dioxide (SO</w:t>
      </w:r>
      <w:r w:rsidR="009E527A" w:rsidRPr="009E527A">
        <w:rPr>
          <w:vertAlign w:val="subscript"/>
        </w:rPr>
        <w:t>2</w:t>
      </w:r>
      <w:r w:rsidR="009E527A">
        <w:t>), nitrogen oxides (NO</w:t>
      </w:r>
      <w:r w:rsidR="009E527A" w:rsidRPr="009E527A">
        <w:rPr>
          <w:vertAlign w:val="subscript"/>
        </w:rPr>
        <w:t>x</w:t>
      </w:r>
      <w:r w:rsidR="009E527A">
        <w:t>), and various organic compounds</w:t>
      </w:r>
      <w:r w:rsidR="009E527A">
        <w:rPr>
          <w:rStyle w:val="FootnoteReference"/>
        </w:rPr>
        <w:footnoteReference w:id="7"/>
      </w:r>
      <w:sdt>
        <w:sdtPr>
          <w:id w:val="1724719360"/>
          <w:citation/>
        </w:sdtPr>
        <w:sdtEndPr/>
        <w:sdtContent>
          <w:r w:rsidR="00F30DC1">
            <w:fldChar w:fldCharType="begin"/>
          </w:r>
          <w:r w:rsidR="00F30DC1">
            <w:instrText xml:space="preserve"> CITATION Fin12 \l 1033 </w:instrText>
          </w:r>
          <w:r w:rsidR="00F30DC1">
            <w:fldChar w:fldCharType="separate"/>
          </w:r>
          <w:r w:rsidR="00CD5E1D">
            <w:rPr>
              <w:noProof/>
            </w:rPr>
            <w:t xml:space="preserve"> (Fine, Sioutas, &amp; Solomon, 2012)</w:t>
          </w:r>
          <w:r w:rsidR="00F30DC1">
            <w:fldChar w:fldCharType="end"/>
          </w:r>
        </w:sdtContent>
      </w:sdt>
      <w:r w:rsidR="009E527A">
        <w:t xml:space="preserve">. Secondary PM 2.5 is a </w:t>
      </w:r>
      <w:r w:rsidR="003231B8">
        <w:t>major</w:t>
      </w:r>
      <w:r w:rsidR="009E527A">
        <w:t xml:space="preserve"> portion</w:t>
      </w:r>
      <w:r w:rsidR="00F30DC1">
        <w:t xml:space="preserve"> (a majority, in some cases) </w:t>
      </w:r>
      <w:r w:rsidR="009E527A">
        <w:t xml:space="preserve">of total </w:t>
      </w:r>
      <w:r w:rsidR="00F30DC1">
        <w:t xml:space="preserve">ambient </w:t>
      </w:r>
      <w:r w:rsidR="009E527A">
        <w:t>PM 2.5</w:t>
      </w:r>
      <w:r w:rsidR="003231B8">
        <w:t xml:space="preserve"> </w:t>
      </w:r>
      <w:sdt>
        <w:sdtPr>
          <w:id w:val="-1710404828"/>
          <w:citation/>
        </w:sdtPr>
        <w:sdtEndPr/>
        <w:sdtContent>
          <w:r w:rsidR="003231B8">
            <w:fldChar w:fldCharType="begin"/>
          </w:r>
          <w:r w:rsidR="003231B8">
            <w:instrText xml:space="preserve"> CITATION Zha22 \l 1033  \m Fin12</w:instrText>
          </w:r>
          <w:r w:rsidR="003231B8">
            <w:fldChar w:fldCharType="separate"/>
          </w:r>
          <w:r w:rsidR="00CD5E1D">
            <w:rPr>
              <w:noProof/>
            </w:rPr>
            <w:t>(Zhang, et al., 2022; Fine, Sioutas, &amp; Solomon, 2012)</w:t>
          </w:r>
          <w:r w:rsidR="003231B8">
            <w:fldChar w:fldCharType="end"/>
          </w:r>
        </w:sdtContent>
      </w:sdt>
      <w:r w:rsidR="00F30DC1">
        <w:t>. Consequently, accounting for primary PM 2.5 but not secondary PM 2.5 presents an inaccurate picture of the relationship between economic activities that emit PM 2.5 and ambient PM 2.5 exposure.</w:t>
      </w:r>
    </w:p>
    <w:p w14:paraId="03996A6C" w14:textId="77777777" w:rsidR="00F30DC1" w:rsidRDefault="00F30DC1" w:rsidP="00CF7D91"/>
    <w:p w14:paraId="718C4377" w14:textId="55764D34" w:rsidR="009166ED" w:rsidRDefault="005C43F7" w:rsidP="00CF7D91">
      <w:r>
        <w:t>Attributing secondary PM 2.5 to industries presents serious difficulties, since the chemical reactions which produce secondary PM 2.5 may have as inputs emissions from multiple different sources within the economy</w:t>
      </w:r>
      <w:r w:rsidR="00641B94">
        <w:t xml:space="preserve">, from </w:t>
      </w:r>
      <w:r w:rsidR="008F0D84">
        <w:t>other</w:t>
      </w:r>
      <w:r w:rsidR="00641B94">
        <w:t xml:space="preserve"> economies,</w:t>
      </w:r>
      <w:r>
        <w:t xml:space="preserve"> or even from nature itself.</w:t>
      </w:r>
    </w:p>
    <w:p w14:paraId="4809D20E" w14:textId="1F62398C" w:rsidR="00CF7D91" w:rsidRPr="00CF7D91" w:rsidRDefault="001F3DFA" w:rsidP="001F3DFA">
      <w:pPr>
        <w:pStyle w:val="Heading3"/>
      </w:pPr>
      <w:r>
        <w:t>Transboundary Pollutant Flows</w:t>
      </w:r>
      <w:r w:rsidR="009E527A">
        <w:t xml:space="preserve"> </w:t>
      </w:r>
    </w:p>
    <w:p w14:paraId="1C5E0C46" w14:textId="30F6BA7B" w:rsidR="000A0D7F" w:rsidRPr="000E5599" w:rsidRDefault="005878C8" w:rsidP="00C47F2A">
      <w:pPr>
        <w:rPr>
          <w:rStyle w:val="margen30"/>
        </w:rPr>
      </w:pPr>
      <w:r>
        <w:t>Pollutants emitted to water or air by establishments in one country may flow into other countries, causing harms downstream.</w:t>
      </w:r>
      <w:r w:rsidR="00DF696F">
        <w:t xml:space="preserve"> </w:t>
      </w:r>
      <w:r w:rsidR="001D18AC">
        <w:t>U</w:t>
      </w:r>
      <w:r w:rsidR="00DF696F">
        <w:t>nderstanding these flows is critical for understanding the distributional impacts of pollution</w:t>
      </w:r>
      <w:r w:rsidR="000C0DE9">
        <w:rPr>
          <w:rStyle w:val="FootnoteReference"/>
        </w:rPr>
        <w:footnoteReference w:id="8"/>
      </w:r>
      <w:r w:rsidR="001D18AC">
        <w:t>, but they are explicitly out of scope under the current SEEA-CF (SEEA-CF 3.241)</w:t>
      </w:r>
      <w:r w:rsidR="000C0DE9">
        <w:t xml:space="preserve">.  </w:t>
      </w:r>
    </w:p>
    <w:p w14:paraId="62897EB0" w14:textId="5C9550FA" w:rsidR="00AB61FB" w:rsidRDefault="00AB61FB" w:rsidP="00AB61FB">
      <w:pPr>
        <w:pStyle w:val="Heading2"/>
      </w:pPr>
      <w:bookmarkStart w:id="4" w:name="_Ref148707060"/>
      <w:r>
        <w:t xml:space="preserve">Proposed </w:t>
      </w:r>
      <w:r w:rsidR="00F83858">
        <w:t>e</w:t>
      </w:r>
      <w:r>
        <w:t>xtension</w:t>
      </w:r>
      <w:bookmarkEnd w:id="4"/>
      <w:r w:rsidR="00F83858">
        <w:t xml:space="preserve"> for the treatment of human induced flows</w:t>
      </w:r>
    </w:p>
    <w:p w14:paraId="73AD8A55" w14:textId="7338041C" w:rsidR="00997210" w:rsidRDefault="000A0D7F" w:rsidP="00AB61FB">
      <w:r w:rsidRPr="00907490">
        <w:rPr>
          <w:szCs w:val="22"/>
        </w:rPr>
        <w:t>Human induced flow</w:t>
      </w:r>
      <w:r w:rsidR="00907490" w:rsidRPr="00907490">
        <w:rPr>
          <w:szCs w:val="22"/>
        </w:rPr>
        <w:t>s</w:t>
      </w:r>
      <w:r w:rsidRPr="000B5723">
        <w:rPr>
          <w:szCs w:val="22"/>
        </w:rPr>
        <w:t xml:space="preserve"> can be defined as physical flows that </w:t>
      </w:r>
      <w:r w:rsidR="0057569A">
        <w:rPr>
          <w:szCs w:val="22"/>
        </w:rPr>
        <w:t>are caused directly by human activity but occur within the environment rather than flowing from the economy to the environment</w:t>
      </w:r>
      <w:r w:rsidR="00907490" w:rsidRPr="003C17A4">
        <w:rPr>
          <w:szCs w:val="22"/>
        </w:rPr>
        <w:t>,</w:t>
      </w:r>
      <w:r w:rsidRPr="003C17A4">
        <w:rPr>
          <w:szCs w:val="22"/>
        </w:rPr>
        <w:t xml:space="preserve"> and</w:t>
      </w:r>
      <w:r w:rsidR="0057569A">
        <w:rPr>
          <w:szCs w:val="22"/>
        </w:rPr>
        <w:t xml:space="preserve"> that</w:t>
      </w:r>
      <w:r w:rsidRPr="003C17A4">
        <w:rPr>
          <w:szCs w:val="22"/>
        </w:rPr>
        <w:t xml:space="preserve"> have meaningful, policy-relevant impacts. </w:t>
      </w:r>
      <w:r w:rsidR="00724498" w:rsidRPr="003C17A4">
        <w:rPr>
          <w:szCs w:val="22"/>
        </w:rPr>
        <w:t xml:space="preserve">In principle, </w:t>
      </w:r>
      <w:r w:rsidR="00907490" w:rsidRPr="003C17A4">
        <w:rPr>
          <w:szCs w:val="22"/>
        </w:rPr>
        <w:t xml:space="preserve">these flows </w:t>
      </w:r>
      <w:r w:rsidR="00724498" w:rsidRPr="00AD2C87">
        <w:rPr>
          <w:szCs w:val="22"/>
        </w:rPr>
        <w:t xml:space="preserve">are not recorded in the </w:t>
      </w:r>
      <w:r w:rsidR="00580AE0">
        <w:rPr>
          <w:szCs w:val="22"/>
        </w:rPr>
        <w:t xml:space="preserve">physical </w:t>
      </w:r>
      <w:r w:rsidR="00580AE0" w:rsidRPr="00AD2C87">
        <w:rPr>
          <w:szCs w:val="22"/>
        </w:rPr>
        <w:t xml:space="preserve">SUTs </w:t>
      </w:r>
      <w:r w:rsidR="00724498" w:rsidRPr="00AD2C87">
        <w:rPr>
          <w:szCs w:val="22"/>
        </w:rPr>
        <w:t xml:space="preserve">of the </w:t>
      </w:r>
      <w:r w:rsidR="00580AE0" w:rsidRPr="00AD2C87">
        <w:rPr>
          <w:szCs w:val="22"/>
        </w:rPr>
        <w:t>SEEA</w:t>
      </w:r>
      <w:r w:rsidR="00580AE0">
        <w:rPr>
          <w:szCs w:val="22"/>
        </w:rPr>
        <w:t>-</w:t>
      </w:r>
      <w:r w:rsidR="00724498" w:rsidRPr="00AD2C87">
        <w:rPr>
          <w:szCs w:val="22"/>
        </w:rPr>
        <w:t xml:space="preserve">CF, as these are considered flows </w:t>
      </w:r>
      <w:r w:rsidR="00907490" w:rsidRPr="00AD2C87">
        <w:rPr>
          <w:szCs w:val="22"/>
        </w:rPr>
        <w:t xml:space="preserve">occurring </w:t>
      </w:r>
      <w:r w:rsidR="00724498" w:rsidRPr="00AD2C87">
        <w:rPr>
          <w:szCs w:val="22"/>
        </w:rPr>
        <w:t>within the environment</w:t>
      </w:r>
      <w:r w:rsidR="00580AE0">
        <w:rPr>
          <w:rStyle w:val="FootnoteReference"/>
          <w:szCs w:val="22"/>
        </w:rPr>
        <w:footnoteReference w:id="9"/>
      </w:r>
      <w:r w:rsidR="00724498" w:rsidRPr="00AD2C87">
        <w:rPr>
          <w:szCs w:val="22"/>
        </w:rPr>
        <w:t>.</w:t>
      </w:r>
      <w:r w:rsidR="00580AE0">
        <w:rPr>
          <w:szCs w:val="22"/>
        </w:rPr>
        <w:t xml:space="preserve"> However, </w:t>
      </w:r>
      <w:r w:rsidR="00580AE0">
        <w:t>t</w:t>
      </w:r>
      <w:r w:rsidR="00762CAB">
        <w:t xml:space="preserve">he SEEA-CF envisions recording flows that are not the direct result of current-period economic activity in at least </w:t>
      </w:r>
      <w:r w:rsidR="00E04823">
        <w:t xml:space="preserve">one </w:t>
      </w:r>
      <w:r w:rsidR="003C17A4">
        <w:t xml:space="preserve">other </w:t>
      </w:r>
      <w:r w:rsidR="00E04823">
        <w:t xml:space="preserve">context: air emissions </w:t>
      </w:r>
      <w:r w:rsidR="00DE6DCE">
        <w:t>from</w:t>
      </w:r>
      <w:r w:rsidR="00E04823">
        <w:t xml:space="preserve"> the decomposition of solid waste in landfills. In this case, these emissions are not assigned to an industry in the physical SUTs, but instead are found in a column named “Landfills” in a separate, sector-level category called “Accumulation.”</w:t>
      </w:r>
    </w:p>
    <w:p w14:paraId="2A53A024" w14:textId="77777777" w:rsidR="00997210" w:rsidRDefault="00997210" w:rsidP="00AB61FB"/>
    <w:p w14:paraId="7E05C8BB" w14:textId="683E2A78" w:rsidR="00DF3988" w:rsidRDefault="00B16F5D" w:rsidP="00AB61FB">
      <w:r>
        <w:t>H</w:t>
      </w:r>
      <w:r w:rsidR="00DF3988">
        <w:t xml:space="preserve">uman-induced flows in nature </w:t>
      </w:r>
      <w:r>
        <w:t xml:space="preserve">can </w:t>
      </w:r>
      <w:r w:rsidR="00DF3988">
        <w:t xml:space="preserve">be treated in </w:t>
      </w:r>
      <w:r>
        <w:t>an analogous way</w:t>
      </w:r>
      <w:r w:rsidR="00DF3988">
        <w:t xml:space="preserve"> by adding a sector-level category to</w:t>
      </w:r>
      <w:r w:rsidR="002D5646">
        <w:t xml:space="preserve"> the columns of</w:t>
      </w:r>
      <w:r w:rsidR="00DF3988">
        <w:t xml:space="preserve"> the physical SUTs called “Human-</w:t>
      </w:r>
      <w:r w:rsidR="003F09AD">
        <w:t xml:space="preserve">induced flows </w:t>
      </w:r>
      <w:r w:rsidR="00DF3988">
        <w:t xml:space="preserve">in </w:t>
      </w:r>
      <w:r w:rsidR="003F09AD">
        <w:t>nature</w:t>
      </w:r>
      <w:r w:rsidR="00DF3988">
        <w:t xml:space="preserve">,” with </w:t>
      </w:r>
      <w:r w:rsidR="00EA40AF">
        <w:t xml:space="preserve">“suppliers” and </w:t>
      </w:r>
      <w:r w:rsidR="00EA40AF">
        <w:lastRenderedPageBreak/>
        <w:t>“users”</w:t>
      </w:r>
      <w:r w:rsidR="00DF3988">
        <w:t xml:space="preserve"> in this category representing the different processes or pathways by which these flows occur. </w:t>
      </w:r>
      <w:bookmarkStart w:id="5" w:name="_Hlk176512407"/>
      <w:r w:rsidR="00DF3988">
        <w:t xml:space="preserve">For example, the air emissions </w:t>
      </w:r>
      <w:r w:rsidR="00EA40AF">
        <w:t xml:space="preserve">physical SUTs </w:t>
      </w:r>
      <w:r w:rsidR="00DF3988">
        <w:t>could include in this category columns such as “</w:t>
      </w:r>
      <w:r w:rsidR="00EA40AF">
        <w:t>Forest</w:t>
      </w:r>
      <w:r w:rsidR="00DF3988">
        <w:t>—land use”, “</w:t>
      </w:r>
      <w:r w:rsidR="00EA40AF">
        <w:t xml:space="preserve">Wetland—land use change”, “Secondary PM 2.5 </w:t>
      </w:r>
      <w:r w:rsidR="003F09AD">
        <w:t>formation</w:t>
      </w:r>
      <w:r w:rsidR="00EA40AF">
        <w:t>”, “Transboundary flows”, etc.</w:t>
      </w:r>
      <w:r w:rsidR="00EA40AF">
        <w:rPr>
          <w:rStyle w:val="FootnoteReference"/>
        </w:rPr>
        <w:footnoteReference w:id="10"/>
      </w:r>
      <w:r w:rsidR="00997210" w:rsidRPr="00997210">
        <w:t xml:space="preserve"> </w:t>
      </w:r>
      <w:r w:rsidR="00997210">
        <w:t>This proposal is very similar to option 3 from Schenau (2023)</w:t>
      </w:r>
      <w:r w:rsidR="00160570">
        <w:rPr>
          <w:rStyle w:val="FootnoteReference"/>
        </w:rPr>
        <w:footnoteReference w:id="11"/>
      </w:r>
      <w:r w:rsidR="00997210">
        <w:t>.</w:t>
      </w:r>
    </w:p>
    <w:p w14:paraId="4C30E7FF" w14:textId="0B410F2F" w:rsidR="0016425A" w:rsidRDefault="0016425A" w:rsidP="00AB61FB"/>
    <w:p w14:paraId="5BA21CE8" w14:textId="79E22578" w:rsidR="008B359A" w:rsidRDefault="0016425A" w:rsidP="00AB61FB">
      <w:r>
        <w:t>In many cases, these human-induced flows in nature highlight areas where the boundary between the economy and the environment is particularly fuzzy</w:t>
      </w:r>
      <w:r w:rsidR="007F0413">
        <w:t>.</w:t>
      </w:r>
      <w:r w:rsidR="008B359A">
        <w:t xml:space="preserve"> The current SEEA-CF (option 1 in Schenau 2023) draws the line between the economy and the environment all the way on the economy side of the fuzzy area. Assigning human-induced flows in nature to industries (option 2 in Schenau 2023) </w:t>
      </w:r>
      <w:r w:rsidR="002D5646">
        <w:t>could</w:t>
      </w:r>
      <w:r w:rsidR="008B359A">
        <w:t xml:space="preserve"> redraw the boundary between economy and environment quite far on the environment side of the fuzzy area, blurring this essential boundary.</w:t>
      </w:r>
    </w:p>
    <w:p w14:paraId="11D4384A" w14:textId="77777777" w:rsidR="008B359A" w:rsidRDefault="008B359A" w:rsidP="00AB61FB"/>
    <w:p w14:paraId="556DCEEE" w14:textId="223D6FC2" w:rsidR="0086786C" w:rsidRDefault="008B359A" w:rsidP="00AB61FB">
      <w:r>
        <w:t xml:space="preserve">By instead recording these flows in the environmental accounts in their own category, this proposal allows us to retain the existing definition of the economy-environment boundary, while still accounting more fully for </w:t>
      </w:r>
      <w:r w:rsidR="00106B12">
        <w:t xml:space="preserve">the </w:t>
      </w:r>
      <w:r>
        <w:t xml:space="preserve">impacts </w:t>
      </w:r>
      <w:r w:rsidR="00106B12">
        <w:t xml:space="preserve">of </w:t>
      </w:r>
      <w:r>
        <w:t>human economic activity on the environment.</w:t>
      </w:r>
      <w:r w:rsidR="00B16F5D">
        <w:t xml:space="preserve"> This approach also avoids the difficulties that could arise in trying to assign human-induced flows in nature to industries</w:t>
      </w:r>
      <w:r w:rsidR="00C25DA4">
        <w:rPr>
          <w:rStyle w:val="FootnoteReference"/>
        </w:rPr>
        <w:footnoteReference w:id="12"/>
      </w:r>
      <w:r w:rsidR="00C25DA4">
        <w:t>, since these flows in nature are assigned instead to the processes or pathways through which they occur. T</w:t>
      </w:r>
      <w:r w:rsidR="0086786C">
        <w:t xml:space="preserve">his approach </w:t>
      </w:r>
      <w:r w:rsidR="003770E1">
        <w:t>is</w:t>
      </w:r>
      <w:r w:rsidR="0086786C">
        <w:t xml:space="preserve"> flexible enough to accommodate the examples listed above</w:t>
      </w:r>
      <w:r w:rsidR="003A1D9C">
        <w:t xml:space="preserve">, as illustrated in section </w:t>
      </w:r>
      <w:r w:rsidR="00F62326">
        <w:fldChar w:fldCharType="begin"/>
      </w:r>
      <w:r w:rsidR="00F62326">
        <w:instrText xml:space="preserve"> REF _Ref148707074 \r \h </w:instrText>
      </w:r>
      <w:r w:rsidR="00F62326">
        <w:fldChar w:fldCharType="separate"/>
      </w:r>
      <w:r w:rsidR="00F62326">
        <w:t>4</w:t>
      </w:r>
      <w:r w:rsidR="00F62326">
        <w:fldChar w:fldCharType="end"/>
      </w:r>
      <w:r w:rsidR="00C25DA4">
        <w:t xml:space="preserve">, and can </w:t>
      </w:r>
      <w:r w:rsidR="00085F3A">
        <w:t xml:space="preserve">be </w:t>
      </w:r>
      <w:r w:rsidR="003B71A6">
        <w:t xml:space="preserve">readily </w:t>
      </w:r>
      <w:r w:rsidR="00085F3A">
        <w:t xml:space="preserve">adapted to accommodate </w:t>
      </w:r>
      <w:r w:rsidR="00C25DA4">
        <w:t>other human-induced flows in nature as well.</w:t>
      </w:r>
      <w:r w:rsidR="00CC2619">
        <w:t xml:space="preserve"> It should be stressed that the choice of which columns (if any) to include under the “Human-</w:t>
      </w:r>
      <w:r w:rsidR="003F09AD">
        <w:t>induced flows in nature</w:t>
      </w:r>
      <w:r w:rsidR="00CC2619">
        <w:t xml:space="preserve">” heading will </w:t>
      </w:r>
      <w:r w:rsidR="008A46EF">
        <w:t>be made by individual countries, in response to their unique circumstances and needs.</w:t>
      </w:r>
    </w:p>
    <w:p w14:paraId="452B986C" w14:textId="77777777" w:rsidR="0019615D" w:rsidRDefault="0019615D" w:rsidP="00AB61FB"/>
    <w:p w14:paraId="2B8C5A41" w14:textId="29F52A90" w:rsidR="0019615D" w:rsidRDefault="00A1260D" w:rsidP="00AB61FB">
      <w:r>
        <w:t>T</w:t>
      </w:r>
      <w:r w:rsidR="00BF06A4">
        <w:t xml:space="preserve">his framework </w:t>
      </w:r>
      <w:r>
        <w:t xml:space="preserve">should </w:t>
      </w:r>
      <w:r w:rsidR="00BF06A4">
        <w:t>be applied only to flows for which there is a short</w:t>
      </w:r>
      <w:r w:rsidR="003F09AD">
        <w:t>, well-established</w:t>
      </w:r>
      <w:r w:rsidR="00BF06A4">
        <w:t xml:space="preserve"> causal pathway from human activity to the flow in question</w:t>
      </w:r>
      <w:r w:rsidR="00052A36">
        <w:t>, as higher-order indirect effects become significantly more difficult to rigorously enumerate or quantify</w:t>
      </w:r>
      <w:r>
        <w:t>. A precise definition of this boundary is an open question for discussion.</w:t>
      </w:r>
    </w:p>
    <w:p w14:paraId="1E73240E" w14:textId="77777777" w:rsidR="00A121CE" w:rsidRDefault="00A121CE" w:rsidP="00AB61FB"/>
    <w:p w14:paraId="150859C0" w14:textId="125C1AFB" w:rsidR="00A121CE" w:rsidRDefault="00A121CE" w:rsidP="00A121CE">
      <w:r>
        <w:lastRenderedPageBreak/>
        <w:t>The p</w:t>
      </w:r>
      <w:r w:rsidRPr="00DD490B">
        <w:t>roposed extension for the treatment of human induced flows</w:t>
      </w:r>
      <w:r>
        <w:t xml:space="preserve"> not only entails that these flows are accounted for the SEEA physical flow accounts, but also that they are included in the totals that can be </w:t>
      </w:r>
      <w:bookmarkEnd w:id="5"/>
      <w:r>
        <w:t xml:space="preserve">derived from the tables. This will thus </w:t>
      </w:r>
      <w:r w:rsidR="000D0848">
        <w:t>affect</w:t>
      </w:r>
      <w:r>
        <w:t xml:space="preserve"> the indicators that are often based on these totals</w:t>
      </w:r>
      <w:r w:rsidR="000D0848">
        <w:t>,</w:t>
      </w:r>
      <w:r>
        <w:t xml:space="preserve"> </w:t>
      </w:r>
      <w:r w:rsidR="000D0848">
        <w:t xml:space="preserve">for </w:t>
      </w:r>
      <w:r>
        <w:t>example, the total supply of CO2 emissions from the air emission account, which equals the total emissions by economic activities, will include LULUCF emissions.</w:t>
      </w:r>
    </w:p>
    <w:p w14:paraId="70A85B45" w14:textId="6522B2B3" w:rsidR="003A1D9C" w:rsidRDefault="00975F1B" w:rsidP="003A1D9C">
      <w:pPr>
        <w:pStyle w:val="Heading2"/>
      </w:pPr>
      <w:r>
        <w:t>Accounting for human induced flows</w:t>
      </w:r>
    </w:p>
    <w:p w14:paraId="23B5790D" w14:textId="7F2E77D5" w:rsidR="00BD3DF4" w:rsidRDefault="00457C36" w:rsidP="00BD3DF4">
      <w:pPr>
        <w:pStyle w:val="Heading3"/>
        <w:numPr>
          <w:ilvl w:val="0"/>
          <w:numId w:val="11"/>
        </w:numPr>
      </w:pPr>
      <w:bookmarkStart w:id="6" w:name="_Ref148707123"/>
      <w:r>
        <w:rPr>
          <w:noProof/>
        </w:rPr>
        <w:object w:dxaOrig="1440" w:dyaOrig="1440" w14:anchorId="2D5BF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33.8pt;width:467.8pt;height:219pt;z-index:251663360;mso-wrap-distance-top:14.4pt;mso-wrap-distance-bottom:14.4pt;mso-position-horizontal-relative:text;mso-position-vertical-relative:text;mso-width-relative:page;mso-height-relative:page">
            <v:imagedata r:id="rId8" o:title=""/>
            <w10:wrap type="topAndBottom"/>
          </v:shape>
          <o:OLEObject Type="Embed" ProgID="Excel.Sheet.12" ShapeID="_x0000_s1030" DrawAspect="Content" ObjectID="_1788781622" r:id="rId9"/>
        </w:object>
      </w:r>
      <w:r w:rsidR="00BD3DF4">
        <w:t xml:space="preserve">Land Use, Land Use Change, and Forestry </w:t>
      </w:r>
    </w:p>
    <w:p w14:paraId="43576149" w14:textId="5BF0AB75" w:rsidR="006544EB" w:rsidRDefault="00457C36" w:rsidP="00BD3DF4">
      <w:r>
        <w:rPr>
          <w:noProof/>
        </w:rPr>
        <w:object w:dxaOrig="1440" w:dyaOrig="1440" w14:anchorId="41CAD42D">
          <v:shape id="_x0000_s1029" type="#_x0000_t75" style="position:absolute;left:0;text-align:left;margin-left:0;margin-top:336.8pt;width:467.35pt;height:179.8pt;z-index:251661312;mso-position-horizontal-relative:text;mso-position-vertical-relative:text;mso-width-relative:page;mso-height-relative:page">
            <v:imagedata r:id="rId10" o:title=""/>
            <w10:wrap type="topAndBottom"/>
          </v:shape>
          <o:OLEObject Type="Embed" ProgID="Excel.Sheet.12" ShapeID="_x0000_s1029" DrawAspect="Content" ObjectID="_1788781623" r:id="rId11"/>
        </w:object>
      </w:r>
      <w:r w:rsidR="00BD3DF4">
        <w:t xml:space="preserve">Consider the </w:t>
      </w:r>
      <w:r w:rsidR="00CC008B">
        <w:t xml:space="preserve">artificial </w:t>
      </w:r>
      <w:r w:rsidR="00BD3DF4">
        <w:t>example IPCC greenhouse gas emissions inventory data</w:t>
      </w:r>
      <w:r w:rsidR="00CC008B">
        <w:t xml:space="preserve"> in table 1. </w:t>
      </w:r>
      <w:r w:rsidR="006544EB">
        <w:t xml:space="preserve">Under the current SEEA-CF, the LULUCF flows from the left-hand table are ignored in preparation of the air emissions account. Under this proposal, these flows are recorded in a new section of the </w:t>
      </w:r>
      <w:r w:rsidR="003D3FED">
        <w:t>PSUTs</w:t>
      </w:r>
      <w:r w:rsidR="006544EB">
        <w:t xml:space="preserve">, titled </w:t>
      </w:r>
      <w:r>
        <w:rPr>
          <w:noProof/>
        </w:rPr>
        <w:lastRenderedPageBreak/>
        <w:object w:dxaOrig="1440" w:dyaOrig="1440" w14:anchorId="69CFF727">
          <v:shape id="_x0000_s1031" type="#_x0000_t75" style="position:absolute;left:0;text-align:left;margin-left:0;margin-top:.3pt;width:468pt;height:100.5pt;z-index:251665408;mso-wrap-distance-top:14.4pt;mso-wrap-distance-bottom:14.4pt;mso-position-horizontal-relative:text;mso-position-vertical-relative:text;mso-width-relative:page;mso-height-relative:page">
            <v:imagedata r:id="rId12" o:title=""/>
            <w10:wrap type="topAndBottom"/>
          </v:shape>
          <o:OLEObject Type="Embed" ProgID="Excel.Sheet.12" ShapeID="_x0000_s1031" DrawAspect="Content" ObjectID="_1788781624" r:id="rId13"/>
        </w:object>
      </w:r>
      <w:r w:rsidR="006544EB">
        <w:t>“Human</w:t>
      </w:r>
      <w:r w:rsidR="005D7A6D">
        <w:t xml:space="preserve"> </w:t>
      </w:r>
      <w:r w:rsidR="006544EB">
        <w:t xml:space="preserve">Induced Flows in Nature,” as illustrated </w:t>
      </w:r>
      <w:r w:rsidR="00CC008B">
        <w:t>in tables 2a and 2b</w:t>
      </w:r>
      <w:r w:rsidR="003C0CE9">
        <w:t xml:space="preserve">, with </w:t>
      </w:r>
      <w:r w:rsidR="00EC2D59">
        <w:t>uptake</w:t>
      </w:r>
      <w:r w:rsidR="003C0CE9">
        <w:t xml:space="preserve"> represented</w:t>
      </w:r>
      <w:r w:rsidR="00EC2D59">
        <w:t xml:space="preserve"> as a use by the relevant LULUCF category</w:t>
      </w:r>
      <w:r w:rsidR="00CC008B">
        <w:t>.</w:t>
      </w:r>
    </w:p>
    <w:p w14:paraId="14A029AF" w14:textId="5D1C5243" w:rsidR="00915AFA" w:rsidRDefault="00457C36" w:rsidP="00BD3DF4">
      <w:r>
        <w:rPr>
          <w:noProof/>
        </w:rPr>
        <w:object w:dxaOrig="1440" w:dyaOrig="1440" w14:anchorId="1071297C">
          <v:shape id="_x0000_s1032" type="#_x0000_t75" style="position:absolute;left:0;text-align:left;margin-left:0;margin-top:140.75pt;width:468pt;height:161.25pt;z-index:251667456;mso-wrap-distance-top:14.4pt;mso-wrap-distance-bottom:14.4pt;mso-position-horizontal-relative:text;mso-position-vertical-relative:text;mso-width-relative:page;mso-height-relative:page">
            <v:imagedata r:id="rId14" o:title=""/>
            <w10:wrap type="topAndBottom"/>
          </v:shape>
          <o:OLEObject Type="Embed" ProgID="Excel.Sheet.12" ShapeID="_x0000_s1032" DrawAspect="Content" ObjectID="_1788781625" r:id="rId15"/>
        </w:object>
      </w:r>
      <w:r w:rsidR="0086775A">
        <w:t xml:space="preserve">As noted in Schenau (2023), this approach results in a </w:t>
      </w:r>
      <w:r w:rsidR="00D90803">
        <w:t xml:space="preserve">slightly </w:t>
      </w:r>
      <w:r w:rsidR="0086775A">
        <w:t xml:space="preserve">more complex setup for the air emissions account </w:t>
      </w:r>
      <w:r w:rsidR="00D90803">
        <w:t>S</w:t>
      </w:r>
      <w:r w:rsidR="0086775A">
        <w:t xml:space="preserve">upply table, </w:t>
      </w:r>
      <w:r w:rsidR="00D90803">
        <w:t xml:space="preserve">as well as a significant expansion of the Use table to include </w:t>
      </w:r>
      <w:r w:rsidR="000D762A">
        <w:t>processes that absorb greenhouse gases from the atmosphere.</w:t>
      </w:r>
      <w:r w:rsidR="00314FFB">
        <w:t xml:space="preserve"> If a less-complex setup is desired, these flows could be summarized into a single </w:t>
      </w:r>
      <w:r w:rsidR="00710DA6">
        <w:t>LULUCF column under the “Human-Induced Flows in Nature” heading</w:t>
      </w:r>
      <w:r w:rsidR="0082008F">
        <w:t>, as shown in table 3</w:t>
      </w:r>
      <w:r w:rsidR="00710DA6">
        <w:t>.</w:t>
      </w:r>
      <w:r w:rsidR="00C14238">
        <w:t xml:space="preserve"> Alternatively, with sufficient data on land ownership, </w:t>
      </w:r>
      <w:r w:rsidR="003670A1">
        <w:t>these flows could be attributed to industries based on the economic activities of the owners of lands producing these emissions or uptakes. Section 5 gives an example of this approach, using data from Estonia.</w:t>
      </w:r>
    </w:p>
    <w:p w14:paraId="13153BDC" w14:textId="0C275CB5" w:rsidR="00461B32" w:rsidRDefault="00B45AEB" w:rsidP="004A6F13">
      <w:r>
        <w:t>As a corollary</w:t>
      </w:r>
      <w:r w:rsidR="00461B32">
        <w:t>, it is also valuable to consider how emissions of biogenic and fossil emissions of carbon dioxide should be presented in such accounts</w:t>
      </w:r>
      <w:r>
        <w:t>, for the following reasons:</w:t>
      </w:r>
      <w:r w:rsidR="00461B32">
        <w:t xml:space="preserve"> </w:t>
      </w:r>
    </w:p>
    <w:p w14:paraId="755650D9" w14:textId="63BBEAA2" w:rsidR="00461B32" w:rsidRPr="004A6F13" w:rsidRDefault="00461B32" w:rsidP="004A6F13">
      <w:pPr>
        <w:pStyle w:val="ListParagraph"/>
        <w:numPr>
          <w:ilvl w:val="0"/>
          <w:numId w:val="26"/>
        </w:numPr>
        <w:rPr>
          <w:lang w:val="en-GB"/>
        </w:rPr>
      </w:pPr>
      <w:r w:rsidRPr="004A6F13">
        <w:rPr>
          <w:lang w:val="en-GB"/>
        </w:rPr>
        <w:t>The radiative forcing due to CO</w:t>
      </w:r>
      <w:r w:rsidRPr="004A6F13">
        <w:rPr>
          <w:vertAlign w:val="subscript"/>
          <w:lang w:val="en-GB"/>
        </w:rPr>
        <w:t>2</w:t>
      </w:r>
      <w:r w:rsidRPr="004A6F13">
        <w:rPr>
          <w:lang w:val="en-GB"/>
        </w:rPr>
        <w:t xml:space="preserve"> emissions from biomass when it is combusted as a fuel in the economy are not zero, but nor are they the same as for the emissions of fossil CO</w:t>
      </w:r>
      <w:r w:rsidRPr="004A6F13">
        <w:rPr>
          <w:vertAlign w:val="subscript"/>
          <w:lang w:val="en-GB"/>
        </w:rPr>
        <w:t>2</w:t>
      </w:r>
      <w:r w:rsidRPr="004A6F13">
        <w:rPr>
          <w:lang w:val="en-GB"/>
        </w:rPr>
        <w:t xml:space="preserve"> emissions</w:t>
      </w:r>
      <w:r w:rsidR="000D0848" w:rsidRPr="004A6F13">
        <w:rPr>
          <w:lang w:val="en-GB"/>
        </w:rPr>
        <w:t xml:space="preserve"> (see for example the reasoning in </w:t>
      </w:r>
      <w:proofErr w:type="spellStart"/>
      <w:r w:rsidR="000D0848" w:rsidRPr="004A6F13">
        <w:rPr>
          <w:lang w:val="en-GB"/>
        </w:rPr>
        <w:t>Hammar</w:t>
      </w:r>
      <w:proofErr w:type="spellEnd"/>
      <w:r w:rsidR="000D0848" w:rsidRPr="004A6F13">
        <w:rPr>
          <w:lang w:val="en-GB"/>
        </w:rPr>
        <w:t>, 2017)</w:t>
      </w:r>
      <w:r w:rsidRPr="004A6F13">
        <w:rPr>
          <w:lang w:val="en-GB"/>
        </w:rPr>
        <w:t xml:space="preserve"> </w:t>
      </w:r>
    </w:p>
    <w:p w14:paraId="0B689BDB" w14:textId="1910DF83" w:rsidR="00461B32" w:rsidRPr="004A6F13" w:rsidRDefault="00461B32" w:rsidP="004A6F13">
      <w:pPr>
        <w:pStyle w:val="ListParagraph"/>
        <w:numPr>
          <w:ilvl w:val="0"/>
          <w:numId w:val="26"/>
        </w:numPr>
        <w:rPr>
          <w:lang w:val="en-GB"/>
        </w:rPr>
      </w:pPr>
      <w:r w:rsidRPr="004A6F13">
        <w:rPr>
          <w:lang w:val="en-GB"/>
        </w:rPr>
        <w:t xml:space="preserve">Current and planned policy initiatives </w:t>
      </w:r>
      <w:r w:rsidR="00B45AEB" w:rsidRPr="004A6F13">
        <w:rPr>
          <w:lang w:val="en-GB"/>
        </w:rPr>
        <w:t>have different targets for fossil CO</w:t>
      </w:r>
      <w:r w:rsidR="00B45AEB" w:rsidRPr="004A6F13">
        <w:rPr>
          <w:vertAlign w:val="subscript"/>
          <w:lang w:val="en-GB"/>
        </w:rPr>
        <w:t>2</w:t>
      </w:r>
      <w:r w:rsidR="00B45AEB" w:rsidRPr="004A6F13">
        <w:rPr>
          <w:lang w:val="en-GB"/>
        </w:rPr>
        <w:t xml:space="preserve"> emissions and LULUCF</w:t>
      </w:r>
      <w:r w:rsidRPr="004A6F13">
        <w:rPr>
          <w:lang w:val="en-GB"/>
        </w:rPr>
        <w:t xml:space="preserve"> CO</w:t>
      </w:r>
      <w:r w:rsidRPr="004A6F13">
        <w:rPr>
          <w:vertAlign w:val="subscript"/>
          <w:lang w:val="en-GB"/>
        </w:rPr>
        <w:t>2</w:t>
      </w:r>
      <w:r w:rsidRPr="004A6F13">
        <w:rPr>
          <w:lang w:val="en-GB"/>
        </w:rPr>
        <w:t xml:space="preserve"> emissions and uptake.</w:t>
      </w:r>
    </w:p>
    <w:p w14:paraId="472FE053" w14:textId="748C4E26" w:rsidR="00461B32" w:rsidRPr="004A6F13" w:rsidRDefault="00461B32" w:rsidP="004A6F13">
      <w:pPr>
        <w:pStyle w:val="ListParagraph"/>
        <w:numPr>
          <w:ilvl w:val="0"/>
          <w:numId w:val="26"/>
        </w:numPr>
        <w:rPr>
          <w:lang w:val="en-GB"/>
        </w:rPr>
      </w:pPr>
      <w:r w:rsidRPr="004A6F13">
        <w:rPr>
          <w:lang w:val="en-GB"/>
        </w:rPr>
        <w:t xml:space="preserve">The use of certain types of </w:t>
      </w:r>
      <w:proofErr w:type="gramStart"/>
      <w:r w:rsidRPr="004A6F13">
        <w:rPr>
          <w:lang w:val="en-GB"/>
        </w:rPr>
        <w:t>biomass</w:t>
      </w:r>
      <w:proofErr w:type="gramEnd"/>
      <w:r w:rsidRPr="004A6F13">
        <w:rPr>
          <w:lang w:val="en-GB"/>
        </w:rPr>
        <w:t xml:space="preserve"> as a fuel is directly connected to uptake and emissions recorded in LULUCF (according to the current IPCC reporting requirements).</w:t>
      </w:r>
      <w:r w:rsidR="00B50C35" w:rsidRPr="004A6F13">
        <w:rPr>
          <w:lang w:val="en-GB"/>
        </w:rPr>
        <w:t xml:space="preserve"> This is for example the case when considering LULUCF for forest ecosystems that contribute significantly to stock changes in carbon.</w:t>
      </w:r>
    </w:p>
    <w:p w14:paraId="26737DBF" w14:textId="77777777" w:rsidR="00963D62" w:rsidRDefault="00963D62" w:rsidP="004A6F13">
      <w:pPr>
        <w:rPr>
          <w:lang w:val="en-GB"/>
        </w:rPr>
      </w:pPr>
    </w:p>
    <w:p w14:paraId="7345FC07" w14:textId="0CB8BE91" w:rsidR="008607EF" w:rsidRDefault="00A0098D" w:rsidP="004A6F13">
      <w:pPr>
        <w:rPr>
          <w:lang w:val="en-GB"/>
        </w:rPr>
      </w:pPr>
      <w:r>
        <w:rPr>
          <w:lang w:val="en-GB"/>
        </w:rPr>
        <w:t>Considering these</w:t>
      </w:r>
      <w:r w:rsidR="00461B32">
        <w:rPr>
          <w:lang w:val="en-GB"/>
        </w:rPr>
        <w:t xml:space="preserve">, </w:t>
      </w:r>
      <w:r>
        <w:rPr>
          <w:lang w:val="en-GB"/>
        </w:rPr>
        <w:t>we propose separate substance categories for</w:t>
      </w:r>
      <w:r w:rsidR="00627830">
        <w:rPr>
          <w:lang w:val="en-GB"/>
        </w:rPr>
        <w:t xml:space="preserve"> CO</w:t>
      </w:r>
      <w:r w:rsidR="00627830" w:rsidRPr="00627830">
        <w:rPr>
          <w:vertAlign w:val="subscript"/>
          <w:lang w:val="en-GB"/>
        </w:rPr>
        <w:t>2</w:t>
      </w:r>
      <w:r w:rsidR="00627830">
        <w:rPr>
          <w:lang w:val="en-GB"/>
        </w:rPr>
        <w:t xml:space="preserve"> emissions termed</w:t>
      </w:r>
      <w:r w:rsidR="00461B32">
        <w:rPr>
          <w:lang w:val="en-GB"/>
        </w:rPr>
        <w:t xml:space="preserve"> </w:t>
      </w:r>
      <w:r w:rsidR="00627830">
        <w:rPr>
          <w:lang w:val="en-GB"/>
        </w:rPr>
        <w:t>“</w:t>
      </w:r>
      <w:r w:rsidR="00EC5EBA">
        <w:rPr>
          <w:lang w:val="en-GB"/>
        </w:rPr>
        <w:t xml:space="preserve">long-cycle </w:t>
      </w:r>
      <w:r w:rsidR="00461B32">
        <w:rPr>
          <w:lang w:val="en-GB"/>
        </w:rPr>
        <w:t>CO</w:t>
      </w:r>
      <w:r w:rsidR="00461B32" w:rsidRPr="00160DA6">
        <w:rPr>
          <w:vertAlign w:val="subscript"/>
          <w:lang w:val="en-GB"/>
        </w:rPr>
        <w:t>2</w:t>
      </w:r>
      <w:r w:rsidR="00627830">
        <w:rPr>
          <w:lang w:val="en-GB"/>
        </w:rPr>
        <w:t xml:space="preserve">” </w:t>
      </w:r>
      <w:r>
        <w:rPr>
          <w:lang w:val="en-GB"/>
        </w:rPr>
        <w:t>and</w:t>
      </w:r>
      <w:r w:rsidR="00461B32">
        <w:rPr>
          <w:lang w:val="en-GB"/>
        </w:rPr>
        <w:t xml:space="preserve"> </w:t>
      </w:r>
      <w:r w:rsidR="00627830">
        <w:rPr>
          <w:lang w:val="en-GB"/>
        </w:rPr>
        <w:t>“</w:t>
      </w:r>
      <w:r w:rsidR="00461B32">
        <w:rPr>
          <w:lang w:val="en-GB"/>
        </w:rPr>
        <w:t>short-cycle CO</w:t>
      </w:r>
      <w:r w:rsidR="00461B32" w:rsidRPr="00853371">
        <w:rPr>
          <w:vertAlign w:val="subscript"/>
          <w:lang w:val="en-GB"/>
        </w:rPr>
        <w:t>2</w:t>
      </w:r>
      <w:r>
        <w:rPr>
          <w:lang w:val="en-GB"/>
        </w:rPr>
        <w:t>.</w:t>
      </w:r>
      <w:r w:rsidR="00627830">
        <w:rPr>
          <w:lang w:val="en-GB"/>
        </w:rPr>
        <w:t>”</w:t>
      </w:r>
      <w:r w:rsidR="00026429">
        <w:rPr>
          <w:lang w:val="en-GB"/>
        </w:rPr>
        <w:t xml:space="preserve"> The global carbon cycle involves processes that operate over the short term (less than a few years) and the long term (decades</w:t>
      </w:r>
      <w:r w:rsidR="00526810">
        <w:rPr>
          <w:lang w:val="en-GB"/>
        </w:rPr>
        <w:t xml:space="preserve"> or centuries</w:t>
      </w:r>
      <w:r w:rsidR="00026429">
        <w:rPr>
          <w:lang w:val="en-GB"/>
        </w:rPr>
        <w:t xml:space="preserve"> to millennia or longer). For example, photosynthesis absorbs carbon from the atmosphere and incorporates it into biomass. Decomposition of this biomass releases that carbon back into the atmosphere. Burning the biomass as fuel simply releases the same carbon a little more quickly into the atmosphere. For this reason, these emissions are considered part of the short-term portion of the carbon cycle. An example of the long-term portion of the carbon cycle is carbon sequestered for millions of years in geologic formations such as carbonate rocks or fossil fuel deposits. When these fossil fuels are burned, this carbon is released into the atmosphere. Consequently, these emissions are considered part of the long-term portion of the carbon cycle.</w:t>
      </w:r>
      <w:r>
        <w:rPr>
          <w:lang w:val="en-GB"/>
        </w:rPr>
        <w:t xml:space="preserve"> </w:t>
      </w:r>
    </w:p>
    <w:p w14:paraId="40B3E904" w14:textId="5EFC17AD" w:rsidR="008607EF" w:rsidRDefault="008607EF" w:rsidP="00461B32">
      <w:pPr>
        <w:rPr>
          <w:lang w:val="en-GB"/>
        </w:rPr>
      </w:pPr>
    </w:p>
    <w:p w14:paraId="6EF50ECF" w14:textId="09BF1BE6" w:rsidR="00A912E4" w:rsidRPr="005017A3" w:rsidRDefault="00457C36" w:rsidP="00A912E4">
      <w:pPr>
        <w:rPr>
          <w:lang w:val="en-GB"/>
        </w:rPr>
      </w:pPr>
      <w:r>
        <w:rPr>
          <w:noProof/>
          <w:lang w:val="en-GB"/>
        </w:rPr>
        <w:object w:dxaOrig="1440" w:dyaOrig="1440" w14:anchorId="1DC9C422">
          <v:shape id="_x0000_s1033" type="#_x0000_t75" style="position:absolute;left:0;text-align:left;margin-left:0;margin-top:399.75pt;width:468.2pt;height:221.45pt;z-index:251669504;mso-wrap-distance-top:14.4pt;mso-wrap-distance-bottom:14.4pt;mso-position-horizontal-relative:text;mso-position-vertical-relative:page;mso-width-relative:page;mso-height-relative:page">
            <v:imagedata r:id="rId16" o:title=""/>
            <w10:wrap type="topAndBottom" anchory="page"/>
          </v:shape>
          <o:OLEObject Type="Embed" ProgID="Excel.Sheet.12" ShapeID="_x0000_s1033" DrawAspect="Content" ObjectID="_1788781626" r:id="rId17"/>
        </w:object>
      </w:r>
      <w:r w:rsidR="008607EF">
        <w:rPr>
          <w:lang w:val="en-GB"/>
        </w:rPr>
        <w:t xml:space="preserve">For the SEEA context, we propose defining </w:t>
      </w:r>
      <w:r w:rsidR="004A6F13">
        <w:rPr>
          <w:lang w:val="en-GB"/>
        </w:rPr>
        <w:t>“</w:t>
      </w:r>
      <w:r w:rsidR="008607EF">
        <w:rPr>
          <w:lang w:val="en-GB"/>
        </w:rPr>
        <w:t>s</w:t>
      </w:r>
      <w:r w:rsidR="00A0098D">
        <w:rPr>
          <w:lang w:val="en-GB"/>
        </w:rPr>
        <w:t>hort-cycle CO</w:t>
      </w:r>
      <w:r w:rsidR="00A0098D" w:rsidRPr="00A0098D">
        <w:rPr>
          <w:vertAlign w:val="subscript"/>
          <w:lang w:val="en-GB"/>
        </w:rPr>
        <w:t>2</w:t>
      </w:r>
      <w:r w:rsidR="008607EF">
        <w:rPr>
          <w:lang w:val="en-GB"/>
        </w:rPr>
        <w:t>”</w:t>
      </w:r>
      <w:r w:rsidR="00461B32">
        <w:rPr>
          <w:lang w:val="en-GB"/>
        </w:rPr>
        <w:t xml:space="preserve"> </w:t>
      </w:r>
      <w:r w:rsidR="008607EF">
        <w:rPr>
          <w:lang w:val="en-GB"/>
        </w:rPr>
        <w:t>as</w:t>
      </w:r>
      <w:r w:rsidR="00137706">
        <w:rPr>
          <w:lang w:val="en-GB"/>
        </w:rPr>
        <w:t xml:space="preserve"> current-period</w:t>
      </w:r>
      <w:r w:rsidR="00461B32">
        <w:rPr>
          <w:lang w:val="en-GB"/>
        </w:rPr>
        <w:t xml:space="preserve"> CO</w:t>
      </w:r>
      <w:r w:rsidR="00461B32" w:rsidRPr="00853371">
        <w:rPr>
          <w:vertAlign w:val="subscript"/>
          <w:lang w:val="en-GB"/>
        </w:rPr>
        <w:t>2</w:t>
      </w:r>
      <w:r w:rsidR="00461B32">
        <w:rPr>
          <w:lang w:val="en-GB"/>
        </w:rPr>
        <w:t xml:space="preserve"> </w:t>
      </w:r>
      <w:r w:rsidR="0010417F">
        <w:rPr>
          <w:lang w:val="en-GB"/>
        </w:rPr>
        <w:t>emissions</w:t>
      </w:r>
      <w:r w:rsidR="00461B32">
        <w:rPr>
          <w:lang w:val="en-GB"/>
        </w:rPr>
        <w:t xml:space="preserve"> from the combustion of biofuels and</w:t>
      </w:r>
      <w:r w:rsidR="00137706">
        <w:rPr>
          <w:lang w:val="en-GB"/>
        </w:rPr>
        <w:t xml:space="preserve"> current-period</w:t>
      </w:r>
      <w:r w:rsidR="00461B32">
        <w:rPr>
          <w:lang w:val="en-GB"/>
        </w:rPr>
        <w:t xml:space="preserve"> </w:t>
      </w:r>
      <w:r w:rsidR="0010417F">
        <w:rPr>
          <w:lang w:val="en-GB"/>
        </w:rPr>
        <w:t>CO</w:t>
      </w:r>
      <w:r w:rsidR="0010417F" w:rsidRPr="0010417F">
        <w:rPr>
          <w:vertAlign w:val="subscript"/>
          <w:lang w:val="en-GB"/>
        </w:rPr>
        <w:t>2</w:t>
      </w:r>
      <w:r w:rsidR="0010417F">
        <w:rPr>
          <w:lang w:val="en-GB"/>
        </w:rPr>
        <w:t xml:space="preserve"> </w:t>
      </w:r>
      <w:r w:rsidR="00461B32">
        <w:rPr>
          <w:lang w:val="en-GB"/>
        </w:rPr>
        <w:t>emissions and uptake in LULUCF</w:t>
      </w:r>
      <w:r w:rsidR="0010417F">
        <w:rPr>
          <w:lang w:val="en-GB"/>
        </w:rPr>
        <w:t xml:space="preserve">, </w:t>
      </w:r>
      <w:r w:rsidR="008607EF">
        <w:rPr>
          <w:lang w:val="en-GB"/>
        </w:rPr>
        <w:t xml:space="preserve">and </w:t>
      </w:r>
      <w:r w:rsidR="0010417F">
        <w:rPr>
          <w:lang w:val="en-GB"/>
        </w:rPr>
        <w:t>“</w:t>
      </w:r>
      <w:r w:rsidR="00EC5EBA">
        <w:rPr>
          <w:lang w:val="en-GB"/>
        </w:rPr>
        <w:t xml:space="preserve">long-cycle </w:t>
      </w:r>
      <w:r w:rsidR="0010417F">
        <w:rPr>
          <w:lang w:val="en-GB"/>
        </w:rPr>
        <w:t>CO</w:t>
      </w:r>
      <w:r w:rsidR="0010417F" w:rsidRPr="0010417F">
        <w:rPr>
          <w:vertAlign w:val="subscript"/>
          <w:lang w:val="en-GB"/>
        </w:rPr>
        <w:t>2</w:t>
      </w:r>
      <w:r w:rsidR="0010417F">
        <w:rPr>
          <w:lang w:val="en-GB"/>
        </w:rPr>
        <w:t xml:space="preserve">” </w:t>
      </w:r>
      <w:r w:rsidR="008607EF">
        <w:rPr>
          <w:lang w:val="en-GB"/>
        </w:rPr>
        <w:t xml:space="preserve">as </w:t>
      </w:r>
      <w:r w:rsidR="00137706">
        <w:rPr>
          <w:lang w:val="en-GB"/>
        </w:rPr>
        <w:t xml:space="preserve">current-period </w:t>
      </w:r>
      <w:r w:rsidR="0010417F">
        <w:rPr>
          <w:lang w:val="en-GB"/>
        </w:rPr>
        <w:t>CO</w:t>
      </w:r>
      <w:r w:rsidR="0010417F" w:rsidRPr="0010417F">
        <w:rPr>
          <w:vertAlign w:val="subscript"/>
          <w:lang w:val="en-GB"/>
        </w:rPr>
        <w:t>2</w:t>
      </w:r>
      <w:r w:rsidR="0010417F">
        <w:rPr>
          <w:lang w:val="en-GB"/>
        </w:rPr>
        <w:t xml:space="preserve"> emissions from the use of fossil fuels</w:t>
      </w:r>
      <w:r w:rsidR="00D92CD9">
        <w:rPr>
          <w:rStyle w:val="FootnoteReference"/>
          <w:lang w:val="en-GB"/>
        </w:rPr>
        <w:footnoteReference w:id="13"/>
      </w:r>
      <w:r w:rsidR="008066E9">
        <w:rPr>
          <w:lang w:val="en-GB"/>
        </w:rPr>
        <w:t xml:space="preserve"> or other non-biogenic sources</w:t>
      </w:r>
      <w:r w:rsidR="002973C7">
        <w:rPr>
          <w:rStyle w:val="FootnoteReference"/>
          <w:lang w:val="en-GB"/>
        </w:rPr>
        <w:footnoteReference w:id="14"/>
      </w:r>
      <w:r w:rsidR="00461B32">
        <w:rPr>
          <w:lang w:val="en-GB"/>
        </w:rPr>
        <w:t>. Supply and use tables for air emissions (</w:t>
      </w:r>
      <w:r w:rsidR="00EC5EBA">
        <w:rPr>
          <w:lang w:val="en-GB"/>
        </w:rPr>
        <w:t xml:space="preserve">long-cycle </w:t>
      </w:r>
      <w:r w:rsidR="00461B32">
        <w:rPr>
          <w:lang w:val="en-GB"/>
        </w:rPr>
        <w:t>CO</w:t>
      </w:r>
      <w:r w:rsidR="00461B32" w:rsidRPr="00160DA6">
        <w:rPr>
          <w:vertAlign w:val="subscript"/>
          <w:lang w:val="en-GB"/>
        </w:rPr>
        <w:t>2</w:t>
      </w:r>
      <w:r w:rsidR="00461B32">
        <w:rPr>
          <w:lang w:val="en-GB"/>
        </w:rPr>
        <w:t>, short-cycle CO</w:t>
      </w:r>
      <w:r w:rsidR="00461B32" w:rsidRPr="00160DA6">
        <w:rPr>
          <w:vertAlign w:val="subscript"/>
          <w:lang w:val="en-GB"/>
        </w:rPr>
        <w:t>2</w:t>
      </w:r>
      <w:r w:rsidR="00461B32">
        <w:rPr>
          <w:vertAlign w:val="subscript"/>
          <w:lang w:val="en-GB"/>
        </w:rPr>
        <w:t xml:space="preserve"> </w:t>
      </w:r>
      <w:r w:rsidR="00461B32">
        <w:rPr>
          <w:lang w:val="en-GB"/>
        </w:rPr>
        <w:t>and CH</w:t>
      </w:r>
      <w:r w:rsidR="00461B32" w:rsidRPr="00853371">
        <w:rPr>
          <w:vertAlign w:val="subscript"/>
          <w:lang w:val="en-GB"/>
        </w:rPr>
        <w:t>4</w:t>
      </w:r>
      <w:r w:rsidR="00461B32">
        <w:rPr>
          <w:lang w:val="en-GB"/>
        </w:rPr>
        <w:t xml:space="preserve">) according to this </w:t>
      </w:r>
      <w:r w:rsidR="00461B32">
        <w:rPr>
          <w:lang w:val="en-GB"/>
        </w:rPr>
        <w:lastRenderedPageBreak/>
        <w:t>proposal</w:t>
      </w:r>
      <w:r w:rsidR="00461B32">
        <w:rPr>
          <w:vertAlign w:val="subscript"/>
          <w:lang w:val="en-GB"/>
        </w:rPr>
        <w:t xml:space="preserve"> </w:t>
      </w:r>
      <w:r w:rsidR="00461B32">
        <w:rPr>
          <w:lang w:val="en-GB"/>
        </w:rPr>
        <w:t>are shown below</w:t>
      </w:r>
      <w:r w:rsidR="00833C13">
        <w:rPr>
          <w:lang w:val="en-GB"/>
        </w:rPr>
        <w:t xml:space="preserve"> (tables 4a and 4b)</w:t>
      </w:r>
      <w:r w:rsidR="00461B32">
        <w:rPr>
          <w:lang w:val="en-GB"/>
        </w:rPr>
        <w:t>. Th</w:t>
      </w:r>
      <w:r w:rsidR="00A912E4">
        <w:rPr>
          <w:lang w:val="en-GB"/>
        </w:rPr>
        <w:t>is</w:t>
      </w:r>
      <w:r w:rsidR="00461B32">
        <w:rPr>
          <w:lang w:val="en-GB"/>
        </w:rPr>
        <w:t xml:space="preserve"> example</w:t>
      </w:r>
      <w:r w:rsidR="00A912E4">
        <w:rPr>
          <w:lang w:val="en-GB"/>
        </w:rPr>
        <w:t xml:space="preserve"> uses the same artificial example data from table 1 as were used in tables 2</w:t>
      </w:r>
      <w:r w:rsidR="00833C13">
        <w:rPr>
          <w:lang w:val="en-GB"/>
        </w:rPr>
        <w:t>a, 2b,</w:t>
      </w:r>
      <w:r w:rsidR="00A912E4">
        <w:rPr>
          <w:lang w:val="en-GB"/>
        </w:rPr>
        <w:t xml:space="preserve"> and 3 with the additional assumption</w:t>
      </w:r>
      <w:r w:rsidR="00461B32">
        <w:rPr>
          <w:lang w:val="en-GB"/>
        </w:rPr>
        <w:t xml:space="preserve"> that </w:t>
      </w:r>
      <w:r w:rsidR="00A912E4">
        <w:rPr>
          <w:lang w:val="en-GB"/>
        </w:rPr>
        <w:t>50 units of the CO</w:t>
      </w:r>
      <w:r w:rsidR="00A912E4" w:rsidRPr="00A912E4">
        <w:rPr>
          <w:vertAlign w:val="subscript"/>
          <w:lang w:val="en-GB"/>
        </w:rPr>
        <w:t>2</w:t>
      </w:r>
      <w:r w:rsidR="00461B32">
        <w:rPr>
          <w:lang w:val="en-GB"/>
        </w:rPr>
        <w:t xml:space="preserve"> </w:t>
      </w:r>
      <w:r w:rsidR="00A912E4">
        <w:rPr>
          <w:lang w:val="en-GB"/>
        </w:rPr>
        <w:t xml:space="preserve">emitted by the </w:t>
      </w:r>
      <w:r w:rsidR="00461B32">
        <w:rPr>
          <w:lang w:val="en-GB"/>
        </w:rPr>
        <w:t xml:space="preserve">mining and manufacturing industry </w:t>
      </w:r>
      <w:r w:rsidR="00A912E4">
        <w:rPr>
          <w:lang w:val="en-GB"/>
        </w:rPr>
        <w:t>arise from the combustion of biofuels for energy</w:t>
      </w:r>
      <w:r w:rsidR="00461B32">
        <w:rPr>
          <w:lang w:val="en-GB"/>
        </w:rPr>
        <w:t xml:space="preserve">.  </w:t>
      </w:r>
    </w:p>
    <w:p w14:paraId="49DC5981" w14:textId="3359C3A2" w:rsidR="00C14238" w:rsidRDefault="00457C36" w:rsidP="00C14238">
      <w:pPr>
        <w:pStyle w:val="Heading3"/>
        <w:rPr>
          <w:lang w:val="en-GB"/>
        </w:rPr>
      </w:pPr>
      <w:r>
        <w:rPr>
          <w:noProof/>
          <w:lang w:val="en-GB"/>
        </w:rPr>
        <w:object w:dxaOrig="1440" w:dyaOrig="1440" w14:anchorId="229A67CC">
          <v:shape id="_x0000_s1034" type="#_x0000_t75" style="position:absolute;left:0;text-align:left;margin-left:0;margin-top:85.6pt;width:467.85pt;height:114.7pt;z-index:251671552;mso-wrap-distance-top:14.4pt;mso-wrap-distance-bottom:14.4pt;mso-position-horizontal-relative:text;mso-position-vertical-relative:page;mso-width-relative:page;mso-height-relative:page">
            <v:imagedata r:id="rId18" o:title=""/>
            <w10:wrap type="topAndBottom" anchory="page"/>
          </v:shape>
          <o:OLEObject Type="Embed" ProgID="Excel.Sheet.12" ShapeID="_x0000_s1034" DrawAspect="Content" ObjectID="_1788781627" r:id="rId19"/>
        </w:object>
      </w:r>
      <w:r w:rsidR="00C14238">
        <w:rPr>
          <w:lang w:val="en-GB"/>
        </w:rPr>
        <w:t>Carbon capture and storage</w:t>
      </w:r>
    </w:p>
    <w:p w14:paraId="13AF4493" w14:textId="3AEE8E15" w:rsidR="00461B32" w:rsidRDefault="00457C36" w:rsidP="00461B32">
      <w:pPr>
        <w:rPr>
          <w:lang w:val="en-GB"/>
        </w:rPr>
      </w:pPr>
      <w:r>
        <w:rPr>
          <w:noProof/>
        </w:rPr>
        <w:object w:dxaOrig="1440" w:dyaOrig="1440" w14:anchorId="5D5B06F9">
          <v:shape id="_x0000_s1035" type="#_x0000_t75" style="position:absolute;left:0;text-align:left;margin-left:0;margin-top:456.8pt;width:467.95pt;height:117pt;z-index:251673600;mso-wrap-distance-top:14.4pt;mso-wrap-distance-bottom:14.4pt;mso-position-horizontal-relative:text;mso-position-vertical-relative:page;mso-width-relative:page;mso-height-relative:page">
            <v:imagedata r:id="rId20" o:title=""/>
            <w10:wrap type="topAndBottom" anchory="page"/>
          </v:shape>
          <o:OLEObject Type="Embed" ProgID="Excel.Sheet.12" ShapeID="_x0000_s1035" DrawAspect="Content" ObjectID="_1788781628" r:id="rId21"/>
        </w:object>
      </w:r>
      <w:r w:rsidR="00461B32">
        <w:rPr>
          <w:lang w:val="en-GB"/>
        </w:rPr>
        <w:t xml:space="preserve">There is </w:t>
      </w:r>
      <w:r w:rsidR="00C14238">
        <w:rPr>
          <w:lang w:val="en-GB"/>
        </w:rPr>
        <w:t>additional</w:t>
      </w:r>
      <w:r w:rsidR="00461B32">
        <w:rPr>
          <w:lang w:val="en-GB"/>
        </w:rPr>
        <w:t xml:space="preserve"> policy interest in developing solutions for carbon dioxide capture and storage (CCS). This may occur both for carbon dioxide of biogenic and fossil origin. The table below presents a physical supply-use table structure for incorporating CCS. The table is based on previously presented examples, with the additional assumption that </w:t>
      </w:r>
      <w:r w:rsidR="00461B32" w:rsidRPr="00C11BCC">
        <w:rPr>
          <w:lang w:val="en-GB"/>
        </w:rPr>
        <w:t>100 units of carbon dioxide of fossil origin and 50 units of carbon dioxide of biogenic origin are sequestered by the mining and manufacturing industry for subsequent geologic storage.</w:t>
      </w:r>
      <w:r w:rsidR="00C35150">
        <w:rPr>
          <w:lang w:val="en-GB"/>
        </w:rPr>
        <w:t xml:space="preserve"> In this case,</w:t>
      </w:r>
      <w:r w:rsidR="00E45829">
        <w:rPr>
          <w:lang w:val="en-GB"/>
        </w:rPr>
        <w:t xml:space="preserve"> a possible approach is to expand</w:t>
      </w:r>
      <w:r w:rsidR="00C35150">
        <w:rPr>
          <w:lang w:val="en-GB"/>
        </w:rPr>
        <w:t xml:space="preserve"> the Use table’s environment column to include columns for the atmosphere and for geologic storage</w:t>
      </w:r>
      <w:r w:rsidR="00E45829">
        <w:rPr>
          <w:rStyle w:val="FootnoteReference"/>
          <w:lang w:val="en-GB"/>
        </w:rPr>
        <w:footnoteReference w:id="15"/>
      </w:r>
      <w:r w:rsidR="00C35150">
        <w:rPr>
          <w:lang w:val="en-GB"/>
        </w:rPr>
        <w:t>.</w:t>
      </w:r>
    </w:p>
    <w:p w14:paraId="38399E9B" w14:textId="57252B75" w:rsidR="007320B1" w:rsidRDefault="00461B32" w:rsidP="00006C73">
      <w:r>
        <w:rPr>
          <w:lang w:val="en-GB"/>
        </w:rPr>
        <w:t xml:space="preserve">This structure presents an adequate representation to reflect many currently proposed CCS solutions, e.g. where carbon dioxide produced </w:t>
      </w:r>
      <w:r w:rsidR="00680515">
        <w:rPr>
          <w:lang w:val="en-GB"/>
        </w:rPr>
        <w:t>via</w:t>
      </w:r>
      <w:r>
        <w:rPr>
          <w:lang w:val="en-GB"/>
        </w:rPr>
        <w:t xml:space="preserve"> a combustion procedure is captured and </w:t>
      </w:r>
      <w:r w:rsidR="00F1445A">
        <w:rPr>
          <w:lang w:val="en-GB"/>
        </w:rPr>
        <w:t>injected into underground rock formations rather than being</w:t>
      </w:r>
      <w:r>
        <w:rPr>
          <w:lang w:val="en-GB"/>
        </w:rPr>
        <w:t xml:space="preserve"> released to the atmosphere. In such cases, the origin of the combusted fuel can be easily used as a basis for determining if the quantities should be assigned to </w:t>
      </w:r>
      <w:r>
        <w:rPr>
          <w:lang w:val="en-GB"/>
        </w:rPr>
        <w:lastRenderedPageBreak/>
        <w:t xml:space="preserve">the short-cycle </w:t>
      </w:r>
      <w:r w:rsidR="00EC5EBA">
        <w:rPr>
          <w:lang w:val="en-GB"/>
        </w:rPr>
        <w:t xml:space="preserve">or long-cycle </w:t>
      </w:r>
      <w:r>
        <w:rPr>
          <w:lang w:val="en-GB"/>
        </w:rPr>
        <w:t>carbon dioxide categories. However, there are also proposed technological solutions where carbon dioxide from ambient air is captured and stored. In this case</w:t>
      </w:r>
      <w:r w:rsidR="006D6BB0">
        <w:rPr>
          <w:lang w:val="en-GB"/>
        </w:rPr>
        <w:t>,</w:t>
      </w:r>
      <w:r>
        <w:rPr>
          <w:lang w:val="en-GB"/>
        </w:rPr>
        <w:t xml:space="preserve"> the </w:t>
      </w:r>
      <w:r w:rsidR="006D6BB0">
        <w:rPr>
          <w:lang w:val="en-GB"/>
        </w:rPr>
        <w:t>captured carbon dioxide should be assigned to the long-cycle category</w:t>
      </w:r>
      <w:r>
        <w:rPr>
          <w:lang w:val="en-GB"/>
        </w:rPr>
        <w:t xml:space="preserve">. </w:t>
      </w:r>
    </w:p>
    <w:p w14:paraId="36D3B1C3" w14:textId="2295833C" w:rsidR="00833834" w:rsidRDefault="00457C36" w:rsidP="00833834">
      <w:pPr>
        <w:pStyle w:val="Heading3"/>
      </w:pPr>
      <w:bookmarkStart w:id="7" w:name="_Ref148968095"/>
      <w:r>
        <w:rPr>
          <w:noProof/>
        </w:rPr>
        <w:object w:dxaOrig="1440" w:dyaOrig="1440" w14:anchorId="54C73004">
          <v:shape id="_x0000_s1036" type="#_x0000_t75" style="position:absolute;left:0;text-align:left;margin-left:0;margin-top:45.55pt;width:340.95pt;height:103.4pt;z-index:251675648;mso-wrap-distance-top:14.4pt;mso-wrap-distance-bottom:14.4pt;mso-position-horizontal-relative:text;mso-position-vertical-relative:text;mso-width-relative:page;mso-height-relative:page">
            <v:imagedata r:id="rId22" o:title=""/>
            <w10:wrap type="topAndBottom"/>
          </v:shape>
          <o:OLEObject Type="Embed" ProgID="Excel.Sheet.12" ShapeID="_x0000_s1036" DrawAspect="Content" ObjectID="_1788781629" r:id="rId23"/>
        </w:object>
      </w:r>
      <w:r w:rsidR="00833834">
        <w:t>Secondary Fine Particle Air Pollution (PM 2.5)</w:t>
      </w:r>
      <w:bookmarkEnd w:id="7"/>
    </w:p>
    <w:p w14:paraId="1EF66EB1" w14:textId="74AB67A3" w:rsidR="00624C39" w:rsidRDefault="00457C36" w:rsidP="00833834">
      <w:r>
        <w:rPr>
          <w:noProof/>
        </w:rPr>
        <w:object w:dxaOrig="1440" w:dyaOrig="1440" w14:anchorId="43FFFD2B">
          <v:shape id="_x0000_s1038" type="#_x0000_t75" style="position:absolute;left:0;text-align:left;margin-left:0;margin-top:191.1pt;width:468.45pt;height:339.3pt;z-index:251677696;mso-wrap-distance-top:14.4pt;mso-wrap-distance-bottom:14.4pt;mso-position-horizontal-relative:text;mso-position-vertical-relative:text">
            <v:imagedata r:id="rId24" o:title=""/>
            <w10:wrap type="topAndBottom"/>
          </v:shape>
          <o:OLEObject Type="Embed" ProgID="Excel.Sheet.12" ShapeID="_x0000_s1038" DrawAspect="Content" ObjectID="_1788781630" r:id="rId25"/>
        </w:object>
      </w:r>
      <w:r w:rsidR="00833834">
        <w:t xml:space="preserve">Consider the </w:t>
      </w:r>
      <w:r w:rsidR="00CC5A19">
        <w:t xml:space="preserve">artificial </w:t>
      </w:r>
      <w:r w:rsidR="00C2624D">
        <w:t>example emissions data</w:t>
      </w:r>
      <w:r w:rsidR="00CC5A19">
        <w:t xml:space="preserve"> in table 6.</w:t>
      </w:r>
      <w:r w:rsidR="00D42D48">
        <w:t xml:space="preserve"> </w:t>
      </w:r>
      <w:r w:rsidR="003D3FED">
        <w:t xml:space="preserve">Any pollutants which form from chemical reactions involving these emissions are left out of the air emissions account under the current SEEA-CF. Under this proposal, these flows are recorded </w:t>
      </w:r>
      <w:r w:rsidR="00901B01">
        <w:t>in</w:t>
      </w:r>
      <w:r w:rsidR="003D3FED">
        <w:t xml:space="preserve"> new columns of the PSUTs, illustrated </w:t>
      </w:r>
      <w:r w:rsidR="00CC5A19">
        <w:t>in table 7.</w:t>
      </w:r>
    </w:p>
    <w:p w14:paraId="6A85380B" w14:textId="05B0BB08" w:rsidR="003D3FED" w:rsidRDefault="003D3FED" w:rsidP="00833834"/>
    <w:p w14:paraId="1A49B55B" w14:textId="485D4A1C" w:rsidR="0025083E" w:rsidRDefault="0025083E" w:rsidP="00833834">
      <w:r>
        <w:lastRenderedPageBreak/>
        <w:t>As in the previous example, this approach expands both the Supply and the Use tables</w:t>
      </w:r>
      <w:r w:rsidR="008E40D8">
        <w:t>. Newly formed pollutants are recorded in the Supply table; in this example, under the “P</w:t>
      </w:r>
      <w:r w:rsidR="00CC56A2">
        <w:t>M 2.5</w:t>
      </w:r>
      <w:r w:rsidR="008E40D8">
        <w:t xml:space="preserve">-forming Reactions” column. The Use table records the reactants that serve as inputs to these reactions. These reactants are </w:t>
      </w:r>
      <w:r w:rsidR="0041129C">
        <w:t xml:space="preserve">no </w:t>
      </w:r>
      <w:r w:rsidR="008E40D8">
        <w:t>longer found separately in the air; this is reflected in the Use table by being listed under (in this example) “P</w:t>
      </w:r>
      <w:r w:rsidR="00CC56A2">
        <w:t>M 2.5</w:t>
      </w:r>
      <w:r w:rsidR="008E40D8">
        <w:t>-forming Reactions” rather than under “Environment</w:t>
      </w:r>
      <w:r>
        <w:t>.</w:t>
      </w:r>
      <w:r w:rsidR="008E40D8">
        <w:t>”</w:t>
      </w:r>
      <w:r>
        <w:t xml:space="preserve"> Consultation with specialists in the appropriate fields will be critical to properly characterize </w:t>
      </w:r>
      <w:r w:rsidR="008E40D8">
        <w:t>these pollutant</w:t>
      </w:r>
      <w:r>
        <w:t>-forming reactions, as they are complex and dependent on a variety of factors</w:t>
      </w:r>
      <w:r w:rsidR="0099711E">
        <w:rPr>
          <w:rStyle w:val="FootnoteReference"/>
        </w:rPr>
        <w:footnoteReference w:id="16"/>
      </w:r>
      <w:r w:rsidR="0099711E">
        <w:t>.</w:t>
      </w:r>
      <w:r>
        <w:t xml:space="preserve"> </w:t>
      </w:r>
    </w:p>
    <w:p w14:paraId="282B8E0D" w14:textId="355F8337" w:rsidR="0099711E" w:rsidRDefault="0099711E" w:rsidP="0099711E">
      <w:pPr>
        <w:pStyle w:val="Heading3"/>
      </w:pPr>
      <w:r>
        <w:t>Transboundary Pollutant Flows</w:t>
      </w:r>
    </w:p>
    <w:p w14:paraId="5C5ECD49" w14:textId="5FD5AB8D" w:rsidR="00087470" w:rsidRDefault="00901B01" w:rsidP="00087470">
      <w:r>
        <w:t xml:space="preserve">Consider the same pollution data as in illustration </w:t>
      </w:r>
      <w:r>
        <w:fldChar w:fldCharType="begin"/>
      </w:r>
      <w:r>
        <w:instrText xml:space="preserve"> REF _Ref148968095 \r \h </w:instrText>
      </w:r>
      <w:r>
        <w:fldChar w:fldCharType="separate"/>
      </w:r>
      <w:r>
        <w:t>B</w:t>
      </w:r>
      <w:r>
        <w:fldChar w:fldCharType="end"/>
      </w:r>
      <w:r>
        <w:t xml:space="preserve">, and suppose that data are also available on how these pollutants move across borders. Under this proposal, these transboundary flows of pollutants can be added to the PSUTs through import and export columns under the new “Human-Induced Flows in Nature” category, as </w:t>
      </w:r>
      <w:r w:rsidR="00095E89">
        <w:t>shown in table 8.</w:t>
      </w:r>
    </w:p>
    <w:p w14:paraId="26642BAC" w14:textId="6EB3C695" w:rsidR="003C1B7A" w:rsidRDefault="00457C36" w:rsidP="00646D61">
      <w:r>
        <w:rPr>
          <w:noProof/>
        </w:rPr>
        <w:object w:dxaOrig="1440" w:dyaOrig="1440" w14:anchorId="14DEBBA2">
          <v:shape id="_x0000_s1039" type="#_x0000_t75" style="position:absolute;left:0;text-align:left;margin-left:0;margin-top:74.1pt;width:468.05pt;height:270.05pt;z-index:251679744;mso-wrap-distance-top:14.4pt;mso-wrap-distance-bottom:14.4pt;mso-position-horizontal-relative:text;mso-position-vertical-relative:text">
            <v:imagedata r:id="rId26" o:title=""/>
            <w10:wrap type="topAndBottom"/>
          </v:shape>
          <o:OLEObject Type="Embed" ProgID="Excel.Sheet.12" ShapeID="_x0000_s1039" DrawAspect="Content" ObjectID="_1788781631" r:id="rId27"/>
        </w:object>
      </w:r>
      <w:r w:rsidR="00FF3645">
        <w:t xml:space="preserve">As in the examples above, the proposed treatment makes the PSUTs slightly more complex, but </w:t>
      </w:r>
      <w:r w:rsidR="003217EA">
        <w:t xml:space="preserve">it </w:t>
      </w:r>
      <w:r w:rsidR="00FF3645">
        <w:t xml:space="preserve">presents a fuller picture of the impacts of human activity on the environment, and how those impacts are spread to other countries. </w:t>
      </w:r>
      <w:r w:rsidR="00085F3A">
        <w:t>Although the illustration uses the air emissions account, t</w:t>
      </w:r>
      <w:r w:rsidR="00BB04E0">
        <w:t xml:space="preserve">his approach </w:t>
      </w:r>
      <w:r w:rsidR="000139AC">
        <w:lastRenderedPageBreak/>
        <w:t>should</w:t>
      </w:r>
      <w:r w:rsidR="00BB04E0">
        <w:t xml:space="preserve"> serve equally well for water pollutants or other transboundary pollutant flows.</w:t>
      </w:r>
      <w:bookmarkEnd w:id="6"/>
      <w:r w:rsidR="005279DA">
        <w:t xml:space="preserve"> </w:t>
      </w:r>
      <w:r w:rsidR="007B77A9">
        <w:t>We</w:t>
      </w:r>
      <w:r w:rsidR="005279DA">
        <w:t xml:space="preserve"> note that this treatment may be unnecessary for pollutants, such as greenhouse gases, whose </w:t>
      </w:r>
      <w:r w:rsidR="00B80978">
        <w:t>primary negative effects are non-local.</w:t>
      </w:r>
    </w:p>
    <w:p w14:paraId="5B486AA3" w14:textId="491CD3B1" w:rsidR="0095201C" w:rsidRPr="0095201C" w:rsidRDefault="00C14238" w:rsidP="00AF646D">
      <w:pPr>
        <w:pStyle w:val="Heading2"/>
      </w:pPr>
      <w:r>
        <w:t>Carbon sequestration</w:t>
      </w:r>
      <w:r w:rsidR="00961003">
        <w:t xml:space="preserve"> example from Estonia</w:t>
      </w:r>
    </w:p>
    <w:p w14:paraId="4EB3A232" w14:textId="74CA5AB9" w:rsidR="00F70449" w:rsidRDefault="00F70449" w:rsidP="00064DD8">
      <w:pPr>
        <w:rPr>
          <w:szCs w:val="22"/>
          <w:lang w:val="en-GB"/>
        </w:rPr>
      </w:pPr>
      <w:r>
        <w:rPr>
          <w:szCs w:val="22"/>
          <w:lang w:val="en-GB"/>
        </w:rPr>
        <w:t xml:space="preserve">As an example, we present in this chapter how </w:t>
      </w:r>
      <w:r w:rsidR="009C2435">
        <w:rPr>
          <w:szCs w:val="22"/>
          <w:lang w:val="en-GB"/>
        </w:rPr>
        <w:t>sequestration of</w:t>
      </w:r>
      <w:r>
        <w:rPr>
          <w:szCs w:val="22"/>
          <w:lang w:val="en-GB"/>
        </w:rPr>
        <w:t xml:space="preserve"> CO</w:t>
      </w:r>
      <w:r w:rsidRPr="00D35E33">
        <w:rPr>
          <w:szCs w:val="22"/>
          <w:vertAlign w:val="subscript"/>
          <w:lang w:val="en-GB"/>
        </w:rPr>
        <w:t>2</w:t>
      </w:r>
      <w:r>
        <w:rPr>
          <w:szCs w:val="22"/>
          <w:lang w:val="en-GB"/>
        </w:rPr>
        <w:t xml:space="preserve"> from </w:t>
      </w:r>
      <w:r w:rsidRPr="00555AAD">
        <w:rPr>
          <w:szCs w:val="22"/>
          <w:lang w:val="en-GB"/>
        </w:rPr>
        <w:t>land use, land-use change, and forestry</w:t>
      </w:r>
      <w:r>
        <w:rPr>
          <w:szCs w:val="22"/>
          <w:lang w:val="en-GB"/>
        </w:rPr>
        <w:t xml:space="preserve">, one of the important human induced flows in nature that we have identified </w:t>
      </w:r>
      <w:r w:rsidR="00E51231">
        <w:rPr>
          <w:szCs w:val="22"/>
          <w:lang w:val="en-GB"/>
        </w:rPr>
        <w:t>ca</w:t>
      </w:r>
      <w:r>
        <w:rPr>
          <w:szCs w:val="22"/>
          <w:lang w:val="en-GB"/>
        </w:rPr>
        <w:t>n be accounted for</w:t>
      </w:r>
      <w:r w:rsidR="00E51231">
        <w:rPr>
          <w:szCs w:val="22"/>
          <w:lang w:val="en-GB"/>
        </w:rPr>
        <w:t xml:space="preserve"> based on a study from Estonia</w:t>
      </w:r>
      <w:r>
        <w:rPr>
          <w:szCs w:val="22"/>
          <w:lang w:val="en-GB"/>
        </w:rPr>
        <w:t>.</w:t>
      </w:r>
      <w:r w:rsidR="00D12EBA">
        <w:rPr>
          <w:szCs w:val="22"/>
          <w:lang w:val="en-GB"/>
        </w:rPr>
        <w:t xml:space="preserve"> This study was done in an </w:t>
      </w:r>
      <w:r w:rsidR="00352D98">
        <w:rPr>
          <w:szCs w:val="22"/>
          <w:lang w:val="en-GB"/>
        </w:rPr>
        <w:t xml:space="preserve">SEEA </w:t>
      </w:r>
      <w:r w:rsidR="00D12EBA">
        <w:rPr>
          <w:szCs w:val="22"/>
          <w:lang w:val="en-GB"/>
        </w:rPr>
        <w:t>ecosystem accounting context, but the data sources (LULUCF, ownership data) can also be applied in a strictly SEEA CF context.</w:t>
      </w:r>
    </w:p>
    <w:p w14:paraId="09DCDF51" w14:textId="77777777" w:rsidR="00F70449" w:rsidRDefault="00F70449" w:rsidP="00064DD8">
      <w:pPr>
        <w:rPr>
          <w:szCs w:val="22"/>
          <w:lang w:val="en-GB"/>
        </w:rPr>
      </w:pPr>
    </w:p>
    <w:p w14:paraId="75D8E586" w14:textId="439369A5" w:rsidR="00064DD8" w:rsidRDefault="00064DD8" w:rsidP="00064DD8">
      <w:pPr>
        <w:rPr>
          <w:szCs w:val="22"/>
          <w:lang w:val="en-GB"/>
        </w:rPr>
      </w:pPr>
      <w:r w:rsidRPr="00555AAD">
        <w:rPr>
          <w:szCs w:val="22"/>
          <w:lang w:val="en-GB"/>
        </w:rPr>
        <w:t xml:space="preserve">Emissions </w:t>
      </w:r>
      <w:r w:rsidR="00F42E1A">
        <w:rPr>
          <w:szCs w:val="22"/>
          <w:lang w:val="en-GB"/>
        </w:rPr>
        <w:t xml:space="preserve">and sequestration </w:t>
      </w:r>
      <w:r w:rsidRPr="00555AAD">
        <w:rPr>
          <w:szCs w:val="22"/>
          <w:lang w:val="en-GB"/>
        </w:rPr>
        <w:t xml:space="preserve">from land use, land-use change, and forestry (LULUCF) are not currently included in </w:t>
      </w:r>
      <w:r w:rsidR="00F42E1A">
        <w:rPr>
          <w:szCs w:val="22"/>
          <w:lang w:val="en-GB"/>
        </w:rPr>
        <w:t xml:space="preserve">the </w:t>
      </w:r>
      <w:r w:rsidRPr="00555AAD">
        <w:rPr>
          <w:szCs w:val="22"/>
          <w:lang w:val="en-GB"/>
        </w:rPr>
        <w:t>air emissions accounts (AEA)</w:t>
      </w:r>
      <w:r w:rsidR="00F42E1A">
        <w:rPr>
          <w:szCs w:val="22"/>
          <w:lang w:val="en-GB"/>
        </w:rPr>
        <w:t xml:space="preserve"> of the SEEA</w:t>
      </w:r>
      <w:r w:rsidRPr="00555AAD">
        <w:rPr>
          <w:szCs w:val="22"/>
          <w:lang w:val="en-GB"/>
        </w:rPr>
        <w:t xml:space="preserve">. Users and policymakers in Estonia emphasize the need for their inclusion. Estonia’s climate policy aims for climate neutrality by 2050, with specific targets. Under this umbrella sustainable forest management sets also a priority to maintain forests as carbon sinks. This involves reducing logging activities, promoting reforestation, developing financial instruments, and managing land use changes to minimize greenhouse gas emissions. </w:t>
      </w:r>
      <w:bookmarkStart w:id="8" w:name="_Hlk175232340"/>
      <w:r w:rsidRPr="00555AAD">
        <w:rPr>
          <w:szCs w:val="22"/>
          <w:lang w:val="en-GB"/>
        </w:rPr>
        <w:t>Monitoring these goals requires comprehensive data on CO2 emissions and sequestration, integrated with socio-economic data.</w:t>
      </w:r>
    </w:p>
    <w:p w14:paraId="42544572" w14:textId="77777777" w:rsidR="009C2435" w:rsidRPr="00555AAD" w:rsidRDefault="009C2435" w:rsidP="00064DD8">
      <w:pPr>
        <w:rPr>
          <w:szCs w:val="22"/>
          <w:lang w:val="en-GB"/>
        </w:rPr>
      </w:pPr>
    </w:p>
    <w:bookmarkEnd w:id="8"/>
    <w:p w14:paraId="1CEA37DF" w14:textId="77777777" w:rsidR="00064DD8" w:rsidRDefault="00064DD8" w:rsidP="00064DD8">
      <w:pPr>
        <w:rPr>
          <w:szCs w:val="22"/>
          <w:lang w:val="en-GB"/>
        </w:rPr>
      </w:pPr>
      <w:r w:rsidRPr="00555AAD">
        <w:rPr>
          <w:szCs w:val="22"/>
          <w:lang w:val="en-GB"/>
        </w:rPr>
        <w:t>Statistics Estonia suggests linking ecosystem and air emission accounts to provide more policy-relevant data. SEEA EA chapters 3.85 and 4.40 highlights the importance of integrating extent accounts and economic data for policy purposes.</w:t>
      </w:r>
    </w:p>
    <w:p w14:paraId="4A3E66E1" w14:textId="77777777" w:rsidR="009C2435" w:rsidRDefault="009C2435" w:rsidP="00064DD8">
      <w:pPr>
        <w:rPr>
          <w:szCs w:val="22"/>
          <w:lang w:val="en-GB"/>
        </w:rPr>
      </w:pPr>
    </w:p>
    <w:p w14:paraId="606E38F5" w14:textId="5B69F759" w:rsidR="00064DD8" w:rsidRDefault="00F42E1A" w:rsidP="00064DD8">
      <w:pPr>
        <w:rPr>
          <w:szCs w:val="22"/>
          <w:lang w:val="en-GB"/>
        </w:rPr>
      </w:pPr>
      <w:r>
        <w:rPr>
          <w:szCs w:val="22"/>
          <w:lang w:val="en-GB"/>
        </w:rPr>
        <w:t>Here we will show</w:t>
      </w:r>
      <w:r w:rsidR="00064DD8" w:rsidRPr="00555AAD">
        <w:rPr>
          <w:szCs w:val="22"/>
          <w:lang w:val="en-GB"/>
        </w:rPr>
        <w:t xml:space="preserve"> how </w:t>
      </w:r>
      <w:r>
        <w:rPr>
          <w:szCs w:val="22"/>
          <w:lang w:val="en-GB"/>
        </w:rPr>
        <w:t xml:space="preserve">data from the </w:t>
      </w:r>
      <w:r w:rsidR="00064DD8" w:rsidRPr="00555AAD">
        <w:rPr>
          <w:szCs w:val="22"/>
          <w:lang w:val="en-GB"/>
        </w:rPr>
        <w:t>ecosystem accounts for carbon sequestration can be linked to air emissions accounts (AEA) by connecting carbon sequestration data</w:t>
      </w:r>
      <w:r w:rsidR="00064DD8" w:rsidRPr="00555AAD">
        <w:rPr>
          <w:rStyle w:val="FootnoteReference"/>
          <w:szCs w:val="22"/>
          <w:lang w:val="en-GB"/>
        </w:rPr>
        <w:footnoteReference w:id="17"/>
      </w:r>
      <w:r w:rsidR="00064DD8" w:rsidRPr="00555AAD">
        <w:rPr>
          <w:szCs w:val="22"/>
          <w:lang w:val="en-GB"/>
        </w:rPr>
        <w:t xml:space="preserve"> with economic activities via land ownership </w:t>
      </w:r>
      <w:r w:rsidR="00064DD8" w:rsidRPr="00555AAD">
        <w:rPr>
          <w:rStyle w:val="FootnoteReference"/>
          <w:szCs w:val="22"/>
          <w:lang w:val="en-GB"/>
        </w:rPr>
        <w:footnoteReference w:id="18"/>
      </w:r>
      <w:r w:rsidR="00064DD8" w:rsidRPr="00555AAD">
        <w:rPr>
          <w:szCs w:val="22"/>
          <w:lang w:val="en-GB"/>
        </w:rPr>
        <w:t>. Carbon sequestration and emissions can be further linked to other socio-economic data.</w:t>
      </w:r>
    </w:p>
    <w:p w14:paraId="1EAEA260" w14:textId="2FE4BBCE" w:rsidR="00AA6C23" w:rsidRDefault="00AA6C23">
      <w:pPr>
        <w:spacing w:after="160" w:line="259" w:lineRule="auto"/>
        <w:jc w:val="left"/>
        <w:rPr>
          <w:b/>
          <w:bCs/>
          <w:sz w:val="24"/>
          <w:szCs w:val="22"/>
          <w:lang w:val="en-GB"/>
        </w:rPr>
      </w:pPr>
      <w:r>
        <w:rPr>
          <w:szCs w:val="22"/>
          <w:lang w:val="en-GB"/>
        </w:rPr>
        <w:br w:type="page"/>
      </w:r>
    </w:p>
    <w:p w14:paraId="7F8BEBC3" w14:textId="0B430A0C" w:rsidR="00064DD8" w:rsidRDefault="00C829C0" w:rsidP="00064DD8">
      <w:pPr>
        <w:pStyle w:val="Heading3"/>
        <w:numPr>
          <w:ilvl w:val="0"/>
          <w:numId w:val="10"/>
        </w:numPr>
        <w:tabs>
          <w:tab w:val="num" w:pos="360"/>
        </w:tabs>
      </w:pPr>
      <w:bookmarkStart w:id="9" w:name="_Hlk175233731"/>
      <w:r>
        <w:lastRenderedPageBreak/>
        <w:t>N</w:t>
      </w:r>
      <w:r w:rsidR="00064DD8" w:rsidRPr="00F80FDA">
        <w:t>et carbon sequestration</w:t>
      </w:r>
    </w:p>
    <w:bookmarkEnd w:id="9"/>
    <w:p w14:paraId="1A1737B0" w14:textId="710CE929" w:rsidR="002218EC" w:rsidRPr="00AD2266" w:rsidRDefault="00064DD8" w:rsidP="002218EC">
      <w:pPr>
        <w:rPr>
          <w:szCs w:val="22"/>
          <w:lang w:val="en-GB"/>
        </w:rPr>
      </w:pPr>
      <w:r w:rsidRPr="00AD2266">
        <w:rPr>
          <w:szCs w:val="22"/>
          <w:lang w:val="en-GB"/>
        </w:rPr>
        <w:t>The data from National Inventory Report of greenhouse gas emissions in Estonia 1990-2020</w:t>
      </w:r>
      <w:r w:rsidRPr="00AD2266">
        <w:rPr>
          <w:rStyle w:val="FootnoteReference"/>
          <w:szCs w:val="22"/>
          <w:lang w:val="en-GB"/>
        </w:rPr>
        <w:footnoteReference w:id="19"/>
      </w:r>
      <w:r w:rsidRPr="00AD2266">
        <w:rPr>
          <w:szCs w:val="22"/>
          <w:lang w:val="en-GB"/>
        </w:rPr>
        <w:t xml:space="preserve"> </w:t>
      </w:r>
      <w:r>
        <w:rPr>
          <w:szCs w:val="22"/>
          <w:lang w:val="en-GB"/>
        </w:rPr>
        <w:t>is used for</w:t>
      </w:r>
      <w:r w:rsidRPr="00AD2266">
        <w:rPr>
          <w:szCs w:val="22"/>
          <w:lang w:val="en-GB"/>
        </w:rPr>
        <w:t xml:space="preserve"> carbon-related greenhouse gas removals and emissions. LULUCF sector (land use and land use change) in national greenhouse gas (GHG) inventor</w:t>
      </w:r>
      <w:r>
        <w:rPr>
          <w:szCs w:val="22"/>
          <w:lang w:val="en-GB"/>
        </w:rPr>
        <w:t>y</w:t>
      </w:r>
      <w:r w:rsidRPr="00AD2266">
        <w:rPr>
          <w:szCs w:val="22"/>
          <w:lang w:val="en-GB"/>
        </w:rPr>
        <w:t xml:space="preserve"> provides the data required to account for net carbon sequestration. </w:t>
      </w:r>
      <w:r w:rsidR="002218EC">
        <w:rPr>
          <w:szCs w:val="22"/>
          <w:lang w:val="en-GB"/>
        </w:rPr>
        <w:t>LULUCF data are closely linked to the global</w:t>
      </w:r>
      <w:r w:rsidR="002218EC" w:rsidRPr="00AD2266">
        <w:rPr>
          <w:szCs w:val="22"/>
          <w:lang w:val="en-GB"/>
        </w:rPr>
        <w:t xml:space="preserve"> climate regulation ecosystem service</w:t>
      </w:r>
      <w:r w:rsidR="002218EC" w:rsidRPr="00AD2266">
        <w:rPr>
          <w:rStyle w:val="FootnoteReference"/>
          <w:szCs w:val="22"/>
          <w:lang w:val="en-GB"/>
        </w:rPr>
        <w:footnoteReference w:id="20"/>
      </w:r>
      <w:r w:rsidR="002218EC">
        <w:rPr>
          <w:szCs w:val="22"/>
          <w:lang w:val="en-GB"/>
        </w:rPr>
        <w:t xml:space="preserve">, which </w:t>
      </w:r>
      <w:r w:rsidR="002218EC" w:rsidRPr="00AD2266">
        <w:rPr>
          <w:szCs w:val="22"/>
          <w:lang w:val="en-GB"/>
        </w:rPr>
        <w:t>is defined as the ecosystem contribution to reducing concentrations of greenhouse gases in the atmosphere through the removal (net sequestration). The contributions are reported in terms of tonnes of net sequestration</w:t>
      </w:r>
      <w:r w:rsidR="002218EC" w:rsidRPr="00AD2266">
        <w:rPr>
          <w:rStyle w:val="FootnoteReference"/>
          <w:szCs w:val="22"/>
          <w:lang w:val="en-GB"/>
        </w:rPr>
        <w:footnoteReference w:id="21"/>
      </w:r>
      <w:r w:rsidR="002218EC" w:rsidRPr="00AD2266">
        <w:rPr>
          <w:szCs w:val="22"/>
          <w:lang w:val="en-GB"/>
        </w:rPr>
        <w:t xml:space="preserve">. </w:t>
      </w:r>
    </w:p>
    <w:p w14:paraId="0377F848" w14:textId="602503B8" w:rsidR="00064DD8" w:rsidRPr="00AD2266" w:rsidRDefault="00064DD8" w:rsidP="00064DD8">
      <w:pPr>
        <w:rPr>
          <w:szCs w:val="22"/>
          <w:lang w:val="en-GB"/>
        </w:rPr>
      </w:pPr>
    </w:p>
    <w:p w14:paraId="2C7C9F99" w14:textId="5B03CE9E" w:rsidR="00064DD8" w:rsidRDefault="00457C36" w:rsidP="00064DD8">
      <w:pPr>
        <w:rPr>
          <w:szCs w:val="22"/>
          <w:lang w:val="en-GB"/>
        </w:rPr>
      </w:pPr>
      <w:r>
        <w:rPr>
          <w:noProof/>
          <w:lang w:val="en-GB"/>
        </w:rPr>
        <w:object w:dxaOrig="1440" w:dyaOrig="1440" w14:anchorId="23CCB001">
          <v:shape id="_x0000_s1041" type="#_x0000_t75" style="position:absolute;left:0;text-align:left;margin-left:0;margin-top:158.8pt;width:410.2pt;height:202.95pt;z-index:251682816;mso-wrap-distance-top:14.4pt;mso-wrap-distance-bottom:14.4pt;mso-position-horizontal-relative:text;mso-position-vertical-relative:text">
            <v:imagedata r:id="rId28" o:title=""/>
            <w10:wrap type="topAndBottom"/>
          </v:shape>
          <o:OLEObject Type="Embed" ProgID="Excel.Sheet.12" ShapeID="_x0000_s1041" DrawAspect="Content" ObjectID="_1788781632" r:id="rId29"/>
        </w:object>
      </w:r>
      <w:r w:rsidR="00064DD8" w:rsidRPr="00AD2266">
        <w:rPr>
          <w:szCs w:val="22"/>
          <w:lang w:val="en-GB"/>
        </w:rPr>
        <w:t xml:space="preserve">In 2020, forests were the only land-use category in Estonia where carbon was sequestered rather than emitted. The LULUCF sector includes only managed land, and all forests in Estonia are managed. Additionally, harvested wood products (HWP) are considered “removals” and </w:t>
      </w:r>
      <w:r w:rsidR="00064DD8">
        <w:rPr>
          <w:szCs w:val="22"/>
          <w:lang w:val="en-GB"/>
        </w:rPr>
        <w:t xml:space="preserve">data </w:t>
      </w:r>
      <w:r w:rsidR="00064DD8" w:rsidRPr="00AD2266">
        <w:rPr>
          <w:szCs w:val="22"/>
          <w:lang w:val="en-GB"/>
        </w:rPr>
        <w:t xml:space="preserve">are available. However, they are excluded from the </w:t>
      </w:r>
      <w:r w:rsidR="00064DD8">
        <w:rPr>
          <w:szCs w:val="22"/>
          <w:lang w:val="en-GB"/>
        </w:rPr>
        <w:t xml:space="preserve">ecosystem </w:t>
      </w:r>
      <w:r w:rsidR="00064DD8" w:rsidRPr="00AD2266">
        <w:rPr>
          <w:szCs w:val="22"/>
          <w:lang w:val="en-GB"/>
        </w:rPr>
        <w:t xml:space="preserve">service value because HWPs are reported separately in the GHG inventories. This </w:t>
      </w:r>
      <w:r w:rsidR="00064DD8">
        <w:rPr>
          <w:szCs w:val="22"/>
          <w:lang w:val="en-GB"/>
        </w:rPr>
        <w:t>data stream could be a subject for future</w:t>
      </w:r>
      <w:r w:rsidR="00064DD8" w:rsidRPr="00AD2266">
        <w:rPr>
          <w:szCs w:val="22"/>
          <w:lang w:val="en-GB"/>
        </w:rPr>
        <w:t xml:space="preserve"> </w:t>
      </w:r>
      <w:r w:rsidR="00064DD8">
        <w:rPr>
          <w:szCs w:val="22"/>
          <w:lang w:val="en-GB"/>
        </w:rPr>
        <w:t xml:space="preserve">integration and will </w:t>
      </w:r>
      <w:r w:rsidR="00064DD8" w:rsidRPr="00AD2266">
        <w:rPr>
          <w:szCs w:val="22"/>
          <w:lang w:val="en-GB"/>
        </w:rPr>
        <w:t>help maintain transparency, consistency checks, and provides additional information to users.</w:t>
      </w:r>
      <w:r w:rsidR="00064DD8">
        <w:rPr>
          <w:szCs w:val="22"/>
          <w:lang w:val="en-GB"/>
        </w:rPr>
        <w:t xml:space="preserve"> </w:t>
      </w:r>
      <w:r w:rsidR="00AF4CD5">
        <w:rPr>
          <w:szCs w:val="22"/>
          <w:lang w:val="en-GB"/>
        </w:rPr>
        <w:t>Table 9</w:t>
      </w:r>
      <w:r w:rsidR="00064DD8">
        <w:rPr>
          <w:szCs w:val="22"/>
          <w:lang w:val="en-GB"/>
        </w:rPr>
        <w:t xml:space="preserve"> provides an overview of c</w:t>
      </w:r>
      <w:r w:rsidR="00064DD8" w:rsidRPr="00AD2266">
        <w:rPr>
          <w:szCs w:val="22"/>
          <w:lang w:val="en-GB"/>
        </w:rPr>
        <w:t>arbon-related greenhouse gas removals and emissions</w:t>
      </w:r>
      <w:r w:rsidR="00064DD8">
        <w:rPr>
          <w:szCs w:val="22"/>
          <w:lang w:val="en-GB"/>
        </w:rPr>
        <w:t xml:space="preserve"> for</w:t>
      </w:r>
      <w:r w:rsidR="00792D9B">
        <w:rPr>
          <w:szCs w:val="22"/>
          <w:lang w:val="en-GB"/>
        </w:rPr>
        <w:t xml:space="preserve"> Estonia in</w:t>
      </w:r>
      <w:r w:rsidR="00064DD8">
        <w:rPr>
          <w:szCs w:val="22"/>
          <w:lang w:val="en-GB"/>
        </w:rPr>
        <w:t xml:space="preserve"> the year </w:t>
      </w:r>
      <w:r w:rsidR="00064DD8" w:rsidRPr="00AD2266">
        <w:rPr>
          <w:szCs w:val="22"/>
          <w:lang w:val="en-GB"/>
        </w:rPr>
        <w:t>2020</w:t>
      </w:r>
      <w:r w:rsidR="00064DD8">
        <w:rPr>
          <w:szCs w:val="22"/>
          <w:lang w:val="en-GB"/>
        </w:rPr>
        <w:t>.</w:t>
      </w:r>
    </w:p>
    <w:p w14:paraId="628D3E65" w14:textId="77777777" w:rsidR="00064DD8" w:rsidRDefault="00064DD8" w:rsidP="00064DD8">
      <w:pPr>
        <w:pStyle w:val="Heading3"/>
        <w:rPr>
          <w:lang w:val="en-GB"/>
        </w:rPr>
      </w:pPr>
      <w:bookmarkStart w:id="10" w:name="_Hlk175221699"/>
      <w:r>
        <w:rPr>
          <w:lang w:val="en-GB"/>
        </w:rPr>
        <w:lastRenderedPageBreak/>
        <w:t>O</w:t>
      </w:r>
      <w:r w:rsidRPr="00AD2266">
        <w:rPr>
          <w:lang w:val="en-GB"/>
        </w:rPr>
        <w:t>wnership of the land</w:t>
      </w:r>
      <w:bookmarkEnd w:id="10"/>
      <w:r>
        <w:rPr>
          <w:lang w:val="en-GB"/>
        </w:rPr>
        <w:t xml:space="preserve"> in ec</w:t>
      </w:r>
      <w:r w:rsidRPr="00555AAD">
        <w:rPr>
          <w:lang w:val="en-GB"/>
        </w:rPr>
        <w:t>osystem extent account</w:t>
      </w:r>
    </w:p>
    <w:p w14:paraId="0639E341" w14:textId="4F1E08BE" w:rsidR="00064DD8" w:rsidRPr="00AD2266" w:rsidRDefault="00064DD8" w:rsidP="00064DD8">
      <w:pPr>
        <w:rPr>
          <w:szCs w:val="22"/>
          <w:lang w:val="en-GB"/>
        </w:rPr>
      </w:pPr>
      <w:r w:rsidRPr="00AD2266">
        <w:rPr>
          <w:szCs w:val="22"/>
          <w:lang w:val="en-GB"/>
        </w:rPr>
        <w:t xml:space="preserve">An ownership dimension to ecosystem extent account is linking ecosystem assets with the </w:t>
      </w:r>
      <w:r w:rsidR="004907F9">
        <w:rPr>
          <w:szCs w:val="22"/>
          <w:lang w:val="en-GB"/>
        </w:rPr>
        <w:t xml:space="preserve">legal </w:t>
      </w:r>
      <w:r w:rsidRPr="00AD2266">
        <w:rPr>
          <w:szCs w:val="22"/>
          <w:lang w:val="en-GB"/>
        </w:rPr>
        <w:t>owner by the categories</w:t>
      </w:r>
      <w:r>
        <w:rPr>
          <w:szCs w:val="22"/>
          <w:lang w:val="en-GB"/>
        </w:rPr>
        <w:t xml:space="preserve"> </w:t>
      </w:r>
      <w:r w:rsidRPr="00AD2266">
        <w:rPr>
          <w:szCs w:val="22"/>
          <w:lang w:val="en-GB"/>
        </w:rPr>
        <w:t>of economic activities and institutional sectors based on the information of cadastral parcels. In order to determine the institutional sector and economic activity of the landowner the information from Land Register in combination with the information from Statistical Enterprise register (SPI) managed in Statistics Estonia was used.</w:t>
      </w:r>
      <w:r>
        <w:rPr>
          <w:szCs w:val="22"/>
          <w:lang w:val="en-GB"/>
        </w:rPr>
        <w:t xml:space="preserve"> See published results for more information on data</w:t>
      </w:r>
      <w:r>
        <w:rPr>
          <w:rStyle w:val="FootnoteReference"/>
          <w:szCs w:val="22"/>
          <w:lang w:val="en-GB"/>
        </w:rPr>
        <w:footnoteReference w:id="22"/>
      </w:r>
      <w:r>
        <w:rPr>
          <w:szCs w:val="22"/>
          <w:lang w:val="en-GB"/>
        </w:rPr>
        <w:t xml:space="preserve"> and methods</w:t>
      </w:r>
      <w:r>
        <w:rPr>
          <w:rStyle w:val="FootnoteReference"/>
          <w:szCs w:val="22"/>
          <w:lang w:val="en-GB"/>
        </w:rPr>
        <w:footnoteReference w:id="23"/>
      </w:r>
      <w:r>
        <w:rPr>
          <w:szCs w:val="22"/>
          <w:lang w:val="en-GB"/>
        </w:rPr>
        <w:t>.</w:t>
      </w:r>
      <w:r w:rsidRPr="00AD2266">
        <w:rPr>
          <w:szCs w:val="22"/>
          <w:lang w:val="en-GB"/>
        </w:rPr>
        <w:t xml:space="preserve"> </w:t>
      </w:r>
    </w:p>
    <w:p w14:paraId="75CFE158" w14:textId="77777777" w:rsidR="00064DD8" w:rsidRPr="00AD2266" w:rsidRDefault="00064DD8" w:rsidP="00064DD8">
      <w:pPr>
        <w:pStyle w:val="Heading3"/>
        <w:rPr>
          <w:lang w:val="en-GB"/>
        </w:rPr>
      </w:pPr>
      <w:r w:rsidRPr="00AD2266">
        <w:rPr>
          <w:lang w:val="en-GB"/>
        </w:rPr>
        <w:t>Method</w:t>
      </w:r>
      <w:r>
        <w:rPr>
          <w:lang w:val="en-GB"/>
        </w:rPr>
        <w:t>s</w:t>
      </w:r>
      <w:r w:rsidRPr="00AD2266">
        <w:rPr>
          <w:lang w:val="en-GB"/>
        </w:rPr>
        <w:t xml:space="preserve"> for carbon sequestration allocation to economic activities.</w:t>
      </w:r>
    </w:p>
    <w:p w14:paraId="4304D7AB" w14:textId="62D578D9" w:rsidR="00064DD8" w:rsidRDefault="00872265" w:rsidP="00064DD8">
      <w:pPr>
        <w:rPr>
          <w:szCs w:val="22"/>
          <w:lang w:val="en-GB"/>
        </w:rPr>
      </w:pPr>
      <w:r>
        <w:rPr>
          <w:szCs w:val="22"/>
          <w:lang w:val="en-GB"/>
        </w:rPr>
        <w:t>F</w:t>
      </w:r>
      <w:r w:rsidRPr="00B86F62">
        <w:rPr>
          <w:szCs w:val="22"/>
          <w:lang w:val="en-GB"/>
        </w:rPr>
        <w:t xml:space="preserve">orest was the only ecosystem that was a carbon sink, </w:t>
      </w:r>
      <w:r>
        <w:rPr>
          <w:szCs w:val="22"/>
          <w:lang w:val="en-GB"/>
        </w:rPr>
        <w:t>therefor</w:t>
      </w:r>
      <w:r w:rsidR="009C2435">
        <w:rPr>
          <w:szCs w:val="22"/>
          <w:lang w:val="en-GB"/>
        </w:rPr>
        <w:t>e</w:t>
      </w:r>
      <w:r>
        <w:rPr>
          <w:szCs w:val="22"/>
          <w:lang w:val="en-GB"/>
        </w:rPr>
        <w:t xml:space="preserve"> net carbon sequestration of the carbon (</w:t>
      </w:r>
      <w:r w:rsidR="0042596B">
        <w:rPr>
          <w:szCs w:val="22"/>
          <w:lang w:val="en-GB"/>
        </w:rPr>
        <w:t xml:space="preserve">including </w:t>
      </w:r>
      <w:r>
        <w:rPr>
          <w:szCs w:val="22"/>
          <w:lang w:val="en-GB"/>
        </w:rPr>
        <w:t>removals</w:t>
      </w:r>
      <w:r w:rsidRPr="00B86F62">
        <w:rPr>
          <w:szCs w:val="22"/>
          <w:lang w:val="en-GB"/>
        </w:rPr>
        <w:t xml:space="preserve"> </w:t>
      </w:r>
      <w:r w:rsidR="009C2435">
        <w:rPr>
          <w:szCs w:val="22"/>
          <w:lang w:val="en-GB"/>
        </w:rPr>
        <w:t>and</w:t>
      </w:r>
      <w:r>
        <w:rPr>
          <w:szCs w:val="22"/>
          <w:lang w:val="en-GB"/>
        </w:rPr>
        <w:t xml:space="preserve"> emissions) </w:t>
      </w:r>
      <w:r w:rsidRPr="00B86F62">
        <w:rPr>
          <w:szCs w:val="22"/>
          <w:lang w:val="en-GB"/>
        </w:rPr>
        <w:t>from the forest ecosystem were considered.</w:t>
      </w:r>
      <w:r>
        <w:rPr>
          <w:szCs w:val="22"/>
          <w:lang w:val="en-GB"/>
        </w:rPr>
        <w:t xml:space="preserve"> </w:t>
      </w:r>
      <w:r w:rsidRPr="00B86F62">
        <w:rPr>
          <w:szCs w:val="22"/>
          <w:lang w:val="en-GB"/>
        </w:rPr>
        <w:t xml:space="preserve"> </w:t>
      </w:r>
      <w:r w:rsidR="007E2B93">
        <w:rPr>
          <w:szCs w:val="22"/>
          <w:lang w:val="en-GB"/>
        </w:rPr>
        <w:t>Net c</w:t>
      </w:r>
      <w:r w:rsidR="00064DD8">
        <w:rPr>
          <w:szCs w:val="22"/>
          <w:lang w:val="en-GB"/>
        </w:rPr>
        <w:t>arbon sequestration ecosystem service value of 52.2</w:t>
      </w:r>
      <w:r w:rsidR="00064DD8" w:rsidRPr="008E17A8">
        <w:rPr>
          <w:szCs w:val="22"/>
          <w:lang w:val="en-GB"/>
        </w:rPr>
        <w:t xml:space="preserve"> thousand tons</w:t>
      </w:r>
      <w:r w:rsidR="00064DD8">
        <w:rPr>
          <w:szCs w:val="22"/>
          <w:lang w:val="en-GB"/>
        </w:rPr>
        <w:t xml:space="preserve"> C</w:t>
      </w:r>
      <w:r w:rsidR="00064DD8" w:rsidRPr="008E17A8">
        <w:rPr>
          <w:szCs w:val="22"/>
          <w:lang w:val="en-GB"/>
        </w:rPr>
        <w:t xml:space="preserve"> </w:t>
      </w:r>
      <w:r w:rsidR="007E2B93">
        <w:rPr>
          <w:szCs w:val="22"/>
          <w:lang w:val="en-GB"/>
        </w:rPr>
        <w:t xml:space="preserve">in forest ecosystems </w:t>
      </w:r>
      <w:r w:rsidR="00064DD8" w:rsidRPr="008E17A8">
        <w:rPr>
          <w:szCs w:val="22"/>
          <w:lang w:val="en-GB"/>
        </w:rPr>
        <w:t>was allocated to economic activities</w:t>
      </w:r>
      <w:r w:rsidR="00064DD8">
        <w:rPr>
          <w:szCs w:val="22"/>
          <w:lang w:val="en-GB"/>
        </w:rPr>
        <w:t xml:space="preserve"> using information of </w:t>
      </w:r>
      <w:r w:rsidR="00064DD8" w:rsidRPr="00D46A29">
        <w:rPr>
          <w:szCs w:val="22"/>
          <w:lang w:val="en-GB"/>
        </w:rPr>
        <w:t xml:space="preserve">ownership of the </w:t>
      </w:r>
      <w:r w:rsidR="00064DD8">
        <w:rPr>
          <w:szCs w:val="22"/>
          <w:lang w:val="en-GB"/>
        </w:rPr>
        <w:t xml:space="preserve">ecosystem assets. </w:t>
      </w:r>
      <w:r w:rsidR="00B86F62" w:rsidRPr="00B86F62">
        <w:rPr>
          <w:szCs w:val="22"/>
          <w:lang w:val="en-GB"/>
        </w:rPr>
        <w:t xml:space="preserve">Emissions from other ecosystems are excluded from the current allocation example. </w:t>
      </w:r>
      <w:r w:rsidR="00064DD8" w:rsidRPr="00AD2266">
        <w:rPr>
          <w:szCs w:val="22"/>
          <w:lang w:val="en-GB"/>
        </w:rPr>
        <w:t xml:space="preserve">Two </w:t>
      </w:r>
      <w:r w:rsidR="00064DD8">
        <w:rPr>
          <w:szCs w:val="22"/>
          <w:lang w:val="en-GB"/>
        </w:rPr>
        <w:t>approaches were</w:t>
      </w:r>
      <w:r w:rsidR="00064DD8" w:rsidRPr="00AD2266">
        <w:rPr>
          <w:szCs w:val="22"/>
          <w:lang w:val="en-GB"/>
        </w:rPr>
        <w:t xml:space="preserve"> tested </w:t>
      </w:r>
      <w:r w:rsidR="00064DD8">
        <w:rPr>
          <w:szCs w:val="22"/>
          <w:lang w:val="en-GB"/>
        </w:rPr>
        <w:t>to</w:t>
      </w:r>
      <w:r w:rsidR="00064DD8" w:rsidRPr="00AD2266">
        <w:rPr>
          <w:szCs w:val="22"/>
          <w:lang w:val="en-GB"/>
        </w:rPr>
        <w:t xml:space="preserve"> allocat</w:t>
      </w:r>
      <w:r w:rsidR="00064DD8">
        <w:rPr>
          <w:szCs w:val="22"/>
          <w:lang w:val="en-GB"/>
        </w:rPr>
        <w:t>e</w:t>
      </w:r>
      <w:r w:rsidR="00064DD8" w:rsidRPr="00AD2266">
        <w:rPr>
          <w:szCs w:val="22"/>
          <w:lang w:val="en-GB"/>
        </w:rPr>
        <w:t xml:space="preserve"> </w:t>
      </w:r>
      <w:r w:rsidR="00064DD8">
        <w:rPr>
          <w:szCs w:val="22"/>
          <w:lang w:val="en-GB"/>
        </w:rPr>
        <w:t xml:space="preserve">the total value of </w:t>
      </w:r>
      <w:r w:rsidR="00064DD8" w:rsidRPr="00AD2266">
        <w:rPr>
          <w:szCs w:val="22"/>
          <w:lang w:val="en-GB"/>
        </w:rPr>
        <w:t>carbon sequestration to economic activities</w:t>
      </w:r>
      <w:r w:rsidR="002A75C0">
        <w:rPr>
          <w:szCs w:val="22"/>
          <w:lang w:val="en-GB"/>
        </w:rPr>
        <w:t>, one based on net growth in live tree volume (annual increment of timber/forest stands) and a simpler approach based solely on forest area</w:t>
      </w:r>
      <w:r w:rsidR="00064DD8">
        <w:rPr>
          <w:szCs w:val="22"/>
          <w:lang w:val="en-GB"/>
        </w:rPr>
        <w:t>.</w:t>
      </w:r>
    </w:p>
    <w:p w14:paraId="2BD287C6" w14:textId="77777777" w:rsidR="00064DD8" w:rsidRPr="00AD2266" w:rsidRDefault="00064DD8" w:rsidP="00064DD8">
      <w:pPr>
        <w:rPr>
          <w:szCs w:val="22"/>
          <w:lang w:val="en-GB"/>
        </w:rPr>
      </w:pPr>
    </w:p>
    <w:p w14:paraId="46AF89CD" w14:textId="5282A90E" w:rsidR="00064DD8" w:rsidRDefault="00064DD8" w:rsidP="00064DD8">
      <w:pPr>
        <w:ind w:left="720"/>
        <w:rPr>
          <w:szCs w:val="22"/>
          <w:lang w:val="en-GB"/>
        </w:rPr>
      </w:pPr>
      <w:r w:rsidRPr="00AD2266">
        <w:rPr>
          <w:szCs w:val="22"/>
          <w:lang w:val="en-GB"/>
        </w:rPr>
        <w:t xml:space="preserve">1. </w:t>
      </w:r>
      <w:r>
        <w:rPr>
          <w:szCs w:val="22"/>
          <w:lang w:val="en-GB"/>
        </w:rPr>
        <w:t>The total value of carbon sequestration was distributed between economic activities of the users of the land based on spatial data where spatial distribution of a</w:t>
      </w:r>
      <w:r w:rsidRPr="00AD2266">
        <w:rPr>
          <w:szCs w:val="22"/>
          <w:lang w:val="en-GB"/>
        </w:rPr>
        <w:t xml:space="preserve">nnual increment of the timber was </w:t>
      </w:r>
      <w:r>
        <w:rPr>
          <w:szCs w:val="22"/>
          <w:lang w:val="en-GB"/>
        </w:rPr>
        <w:t xml:space="preserve">used as a proxy. </w:t>
      </w:r>
    </w:p>
    <w:p w14:paraId="57465344" w14:textId="77777777" w:rsidR="00064DD8" w:rsidRPr="00AD2266" w:rsidRDefault="00064DD8" w:rsidP="00064DD8">
      <w:pPr>
        <w:ind w:left="720"/>
        <w:rPr>
          <w:szCs w:val="22"/>
          <w:lang w:val="en-GB"/>
        </w:rPr>
      </w:pPr>
      <w:r w:rsidRPr="00AD2266">
        <w:rPr>
          <w:szCs w:val="22"/>
          <w:lang w:val="en-GB"/>
        </w:rPr>
        <w:t>The annual increment of forest stands strongly correlates with carbon sequestration. Thus, the contribution of different ecosystem</w:t>
      </w:r>
      <w:r>
        <w:rPr>
          <w:szCs w:val="22"/>
          <w:lang w:val="en-GB"/>
        </w:rPr>
        <w:t xml:space="preserve"> assets</w:t>
      </w:r>
      <w:r w:rsidRPr="00AD2266">
        <w:rPr>
          <w:szCs w:val="22"/>
          <w:lang w:val="en-GB"/>
        </w:rPr>
        <w:t xml:space="preserve"> to carbon sequestration was determined by spatially allocating carbon sequestration based on forest </w:t>
      </w:r>
      <w:r>
        <w:rPr>
          <w:szCs w:val="22"/>
          <w:lang w:val="en-GB"/>
        </w:rPr>
        <w:t>increment.</w:t>
      </w:r>
    </w:p>
    <w:p w14:paraId="1C258D35" w14:textId="77777777" w:rsidR="0025146C" w:rsidRDefault="00064DD8" w:rsidP="00064DD8">
      <w:pPr>
        <w:ind w:left="720"/>
        <w:rPr>
          <w:szCs w:val="22"/>
          <w:lang w:val="en-GB"/>
        </w:rPr>
      </w:pPr>
      <w:r w:rsidRPr="00AD2266">
        <w:rPr>
          <w:szCs w:val="22"/>
          <w:lang w:val="en-GB"/>
        </w:rPr>
        <w:t>Net annual increment of timber is defined as the average annual volume growth of live trees, calculated from the stock of live trees (growing stock) available at the start of the year less the average annual mortality.</w:t>
      </w:r>
      <w:r w:rsidRPr="00AD2266">
        <w:rPr>
          <w:rStyle w:val="FootnoteReference"/>
          <w:szCs w:val="22"/>
          <w:lang w:val="en-GB"/>
        </w:rPr>
        <w:footnoteReference w:id="24"/>
      </w:r>
      <w:r w:rsidRPr="00AD2266">
        <w:rPr>
          <w:szCs w:val="22"/>
          <w:lang w:val="en-GB"/>
        </w:rPr>
        <w:t xml:space="preserve"> To obtain the increment data on spatial detail, data from the Forest Registry (as of January 2021) were used as primary data source. The increment was found for each forest stand compartment based on a simplified methodology using age, height, normal </w:t>
      </w:r>
      <w:r w:rsidRPr="00AD2266">
        <w:rPr>
          <w:szCs w:val="22"/>
          <w:lang w:val="en-GB"/>
        </w:rPr>
        <w:lastRenderedPageBreak/>
        <w:t>stand density and site quality class.</w:t>
      </w:r>
      <w:r w:rsidRPr="00AD2266">
        <w:rPr>
          <w:rStyle w:val="FootnoteReference"/>
          <w:szCs w:val="22"/>
          <w:lang w:val="en-GB"/>
        </w:rPr>
        <w:footnoteReference w:id="25"/>
      </w:r>
      <w:r w:rsidRPr="00AD2266">
        <w:rPr>
          <w:szCs w:val="22"/>
          <w:lang w:val="en-GB"/>
        </w:rPr>
        <w:t xml:space="preserve">  In case of forest land, for which data were not available in the register, an average annual increment of growing stock was assigned using the weighted averages of the majority tree species and site type allocations according to the available data in the forest register. </w:t>
      </w:r>
    </w:p>
    <w:p w14:paraId="3C5AD497" w14:textId="07C7EEEC" w:rsidR="00064DD8" w:rsidRPr="0025146C" w:rsidRDefault="0025146C" w:rsidP="00D35E33">
      <w:pPr>
        <w:pStyle w:val="ListParagraph"/>
        <w:numPr>
          <w:ilvl w:val="0"/>
          <w:numId w:val="25"/>
        </w:numPr>
        <w:rPr>
          <w:szCs w:val="22"/>
          <w:lang w:val="en-GB"/>
        </w:rPr>
      </w:pPr>
      <w:r w:rsidRPr="0025146C">
        <w:rPr>
          <w:lang w:val="en-GB"/>
        </w:rPr>
        <w:t xml:space="preserve">As a rough estimation carbon sequestration was considered equal in </w:t>
      </w:r>
      <w:proofErr w:type="gramStart"/>
      <w:r w:rsidRPr="0025146C">
        <w:rPr>
          <w:lang w:val="en-GB"/>
        </w:rPr>
        <w:t>all of</w:t>
      </w:r>
      <w:proofErr w:type="gramEnd"/>
      <w:r w:rsidRPr="0025146C">
        <w:rPr>
          <w:lang w:val="en-GB"/>
        </w:rPr>
        <w:t xml:space="preserve"> the forest area and the total value of carbon sequestration was distributed between economic activities of the users of the land based solely on the proportion of the forest land belonging in an economic activity.</w:t>
      </w:r>
    </w:p>
    <w:p w14:paraId="6C99464F" w14:textId="77777777" w:rsidR="0025146C" w:rsidRDefault="0025146C" w:rsidP="00064DD8">
      <w:pPr>
        <w:rPr>
          <w:lang w:val="en-GB"/>
        </w:rPr>
      </w:pPr>
    </w:p>
    <w:p w14:paraId="5A588D1F" w14:textId="68CF23D1" w:rsidR="00064DD8" w:rsidRDefault="00064DD8" w:rsidP="00064DD8">
      <w:pPr>
        <w:rPr>
          <w:szCs w:val="22"/>
          <w:lang w:val="en-GB"/>
        </w:rPr>
      </w:pPr>
      <w:r w:rsidRPr="004867D7">
        <w:rPr>
          <w:szCs w:val="22"/>
          <w:lang w:val="en-GB"/>
        </w:rPr>
        <w:t xml:space="preserve">The results of combining </w:t>
      </w:r>
      <w:r>
        <w:rPr>
          <w:szCs w:val="22"/>
          <w:lang w:val="en-GB"/>
        </w:rPr>
        <w:t xml:space="preserve">data from </w:t>
      </w:r>
      <w:r w:rsidR="00CE19AA">
        <w:rPr>
          <w:szCs w:val="22"/>
          <w:lang w:val="en-GB"/>
        </w:rPr>
        <w:t xml:space="preserve">the </w:t>
      </w:r>
      <w:r w:rsidRPr="004867D7">
        <w:rPr>
          <w:szCs w:val="22"/>
          <w:lang w:val="en-GB"/>
        </w:rPr>
        <w:t>air emission account</w:t>
      </w:r>
      <w:r w:rsidR="00CE19AA">
        <w:rPr>
          <w:szCs w:val="22"/>
          <w:lang w:val="en-GB"/>
        </w:rPr>
        <w:t xml:space="preserve"> and</w:t>
      </w:r>
      <w:r w:rsidRPr="004867D7">
        <w:rPr>
          <w:szCs w:val="22"/>
          <w:lang w:val="en-GB"/>
        </w:rPr>
        <w:t xml:space="preserve"> ecosystem account</w:t>
      </w:r>
      <w:r w:rsidR="00CE19AA">
        <w:rPr>
          <w:szCs w:val="22"/>
          <w:lang w:val="en-GB"/>
        </w:rPr>
        <w:t>s</w:t>
      </w:r>
      <w:r w:rsidRPr="004867D7">
        <w:rPr>
          <w:szCs w:val="22"/>
          <w:lang w:val="en-GB"/>
        </w:rPr>
        <w:t xml:space="preserve"> </w:t>
      </w:r>
      <w:r>
        <w:rPr>
          <w:szCs w:val="22"/>
          <w:lang w:val="en-GB"/>
        </w:rPr>
        <w:t>by NACE A21 economic activities</w:t>
      </w:r>
      <w:r w:rsidRPr="004867D7">
        <w:rPr>
          <w:szCs w:val="22"/>
          <w:lang w:val="en-GB"/>
        </w:rPr>
        <w:t xml:space="preserve"> </w:t>
      </w:r>
      <w:r>
        <w:rPr>
          <w:szCs w:val="22"/>
          <w:lang w:val="en-GB"/>
        </w:rPr>
        <w:t xml:space="preserve">are given in </w:t>
      </w:r>
      <w:r w:rsidR="00F1445A">
        <w:rPr>
          <w:szCs w:val="22"/>
          <w:lang w:val="en-GB"/>
        </w:rPr>
        <w:t>table 10</w:t>
      </w:r>
      <w:r>
        <w:rPr>
          <w:szCs w:val="22"/>
          <w:lang w:val="en-GB"/>
        </w:rPr>
        <w:t>.</w:t>
      </w:r>
      <w:r w:rsidR="00373F07">
        <w:rPr>
          <w:szCs w:val="22"/>
          <w:lang w:val="en-GB"/>
        </w:rPr>
        <w:t xml:space="preserve"> </w:t>
      </w:r>
      <w:r>
        <w:rPr>
          <w:szCs w:val="22"/>
          <w:lang w:val="en-GB"/>
        </w:rPr>
        <w:t xml:space="preserve">The </w:t>
      </w:r>
      <w:r w:rsidRPr="004867D7">
        <w:rPr>
          <w:szCs w:val="22"/>
          <w:lang w:val="en-GB"/>
        </w:rPr>
        <w:t xml:space="preserve">air emission account </w:t>
      </w:r>
      <w:r>
        <w:rPr>
          <w:szCs w:val="22"/>
          <w:lang w:val="en-GB"/>
        </w:rPr>
        <w:t xml:space="preserve">is structured according to NACE </w:t>
      </w:r>
      <w:proofErr w:type="gramStart"/>
      <w:r>
        <w:rPr>
          <w:szCs w:val="22"/>
          <w:lang w:val="en-GB"/>
        </w:rPr>
        <w:t>A64</w:t>
      </w:r>
      <w:proofErr w:type="gramEnd"/>
      <w:r>
        <w:rPr>
          <w:szCs w:val="22"/>
          <w:lang w:val="en-GB"/>
        </w:rPr>
        <w:t xml:space="preserve"> and the </w:t>
      </w:r>
      <w:r w:rsidR="006529F8">
        <w:rPr>
          <w:szCs w:val="22"/>
          <w:lang w:val="en-GB"/>
        </w:rPr>
        <w:t xml:space="preserve">additional </w:t>
      </w:r>
      <w:r>
        <w:rPr>
          <w:szCs w:val="22"/>
          <w:lang w:val="en-GB"/>
        </w:rPr>
        <w:t xml:space="preserve">data </w:t>
      </w:r>
      <w:r w:rsidR="006529F8">
        <w:rPr>
          <w:szCs w:val="22"/>
          <w:lang w:val="en-GB"/>
        </w:rPr>
        <w:t xml:space="preserve">described above were implemented into </w:t>
      </w:r>
      <w:r>
        <w:rPr>
          <w:szCs w:val="22"/>
          <w:lang w:val="en-GB"/>
        </w:rPr>
        <w:t>the same structure. Data on land ownership in ecosystem accounts was compiled using institutional sectors and NACE A21 as in several cases information for more detailed allocation was not available. Items that did not fit into the given structure of A21 and households were given as additional items at the end of the table. Presumptions were made that “</w:t>
      </w:r>
      <w:r w:rsidRPr="00086A48">
        <w:rPr>
          <w:szCs w:val="22"/>
          <w:lang w:val="en-GB"/>
        </w:rPr>
        <w:t>Financial corporations</w:t>
      </w:r>
      <w:r>
        <w:rPr>
          <w:szCs w:val="22"/>
          <w:lang w:val="en-GB"/>
        </w:rPr>
        <w:t>” sector corresponds to activity K – “</w:t>
      </w:r>
      <w:r w:rsidRPr="00086A48">
        <w:rPr>
          <w:szCs w:val="22"/>
          <w:lang w:val="en-GB"/>
        </w:rPr>
        <w:t>Financial and insurance activities</w:t>
      </w:r>
      <w:r>
        <w:rPr>
          <w:szCs w:val="22"/>
          <w:lang w:val="en-GB"/>
        </w:rPr>
        <w:t>” and “</w:t>
      </w:r>
      <w:r w:rsidRPr="00086A48">
        <w:rPr>
          <w:szCs w:val="22"/>
          <w:lang w:val="en-GB"/>
        </w:rPr>
        <w:t>General government</w:t>
      </w:r>
      <w:r>
        <w:rPr>
          <w:szCs w:val="22"/>
          <w:lang w:val="en-GB"/>
        </w:rPr>
        <w:t xml:space="preserve"> sector” corresponds to activity O – “</w:t>
      </w:r>
      <w:r w:rsidRPr="00997D7D">
        <w:rPr>
          <w:szCs w:val="22"/>
          <w:lang w:val="en-GB"/>
        </w:rPr>
        <w:t>Public administration and defence; compulsory social security</w:t>
      </w:r>
      <w:r>
        <w:rPr>
          <w:szCs w:val="22"/>
          <w:lang w:val="en-GB"/>
        </w:rPr>
        <w:t xml:space="preserve">”. Sectors “NPISH - </w:t>
      </w:r>
      <w:r w:rsidRPr="00997D7D">
        <w:rPr>
          <w:szCs w:val="22"/>
          <w:lang w:val="en-GB"/>
        </w:rPr>
        <w:t>Non-profit institutions serving households</w:t>
      </w:r>
      <w:r>
        <w:rPr>
          <w:szCs w:val="22"/>
          <w:lang w:val="en-GB"/>
        </w:rPr>
        <w:t>” and “Rest of the world” were not attributed to A21 and are given as additional items at the end of the table. Item “</w:t>
      </w:r>
      <w:r w:rsidRPr="00997D7D">
        <w:rPr>
          <w:szCs w:val="22"/>
          <w:lang w:val="en-GB"/>
        </w:rPr>
        <w:t>Not specified</w:t>
      </w:r>
      <w:r>
        <w:rPr>
          <w:szCs w:val="22"/>
          <w:lang w:val="en-GB"/>
        </w:rPr>
        <w:t>” was used in cases where no ownership data for land was available.</w:t>
      </w:r>
    </w:p>
    <w:p w14:paraId="18489D15" w14:textId="77777777" w:rsidR="0025146C" w:rsidRDefault="0025146C" w:rsidP="00064DD8">
      <w:pPr>
        <w:rPr>
          <w:szCs w:val="22"/>
          <w:lang w:val="en-GB"/>
        </w:rPr>
      </w:pPr>
    </w:p>
    <w:p w14:paraId="601264F9" w14:textId="7074B964" w:rsidR="000425FE" w:rsidRDefault="00064DD8" w:rsidP="00064DD8">
      <w:pPr>
        <w:rPr>
          <w:szCs w:val="22"/>
          <w:lang w:val="en-GB"/>
        </w:rPr>
      </w:pPr>
      <w:r>
        <w:rPr>
          <w:szCs w:val="22"/>
          <w:lang w:val="en-GB"/>
        </w:rPr>
        <w:t>The two approaches used to find the distribution between economic activities of</w:t>
      </w:r>
      <w:r w:rsidRPr="007A2CCC">
        <w:rPr>
          <w:szCs w:val="22"/>
          <w:lang w:val="en-GB"/>
        </w:rPr>
        <w:t xml:space="preserve"> net carbon sequestration </w:t>
      </w:r>
      <w:r>
        <w:rPr>
          <w:szCs w:val="22"/>
          <w:lang w:val="en-GB"/>
        </w:rPr>
        <w:t xml:space="preserve">give slightly different </w:t>
      </w:r>
      <w:r w:rsidR="006529F8">
        <w:rPr>
          <w:szCs w:val="22"/>
          <w:lang w:val="en-GB"/>
        </w:rPr>
        <w:t>results</w:t>
      </w:r>
      <w:r>
        <w:rPr>
          <w:szCs w:val="22"/>
          <w:lang w:val="en-GB"/>
        </w:rPr>
        <w:t xml:space="preserve">. Households and </w:t>
      </w:r>
      <w:r w:rsidR="002A75C0">
        <w:rPr>
          <w:szCs w:val="22"/>
          <w:lang w:val="en-GB"/>
        </w:rPr>
        <w:t>f</w:t>
      </w:r>
      <w:r w:rsidRPr="0097789B">
        <w:rPr>
          <w:szCs w:val="22"/>
          <w:lang w:val="en-GB"/>
        </w:rPr>
        <w:t>orestry</w:t>
      </w:r>
      <w:r w:rsidR="006F2338">
        <w:rPr>
          <w:szCs w:val="22"/>
          <w:lang w:val="en-GB"/>
        </w:rPr>
        <w:t>/</w:t>
      </w:r>
      <w:r w:rsidRPr="0097789B">
        <w:rPr>
          <w:szCs w:val="22"/>
          <w:lang w:val="en-GB"/>
        </w:rPr>
        <w:t>logging</w:t>
      </w:r>
      <w:r w:rsidR="006F2338">
        <w:rPr>
          <w:szCs w:val="22"/>
          <w:lang w:val="en-GB"/>
        </w:rPr>
        <w:t xml:space="preserve"> (A.2)</w:t>
      </w:r>
      <w:r>
        <w:rPr>
          <w:szCs w:val="22"/>
          <w:lang w:val="en-GB"/>
        </w:rPr>
        <w:t xml:space="preserve"> are the biggest contributors in general and show the biggest differences when comparing approaches. Net carbon sequestration found by t</w:t>
      </w:r>
      <w:r w:rsidRPr="00E81DD5">
        <w:rPr>
          <w:szCs w:val="22"/>
          <w:lang w:val="en-GB"/>
        </w:rPr>
        <w:t xml:space="preserve">he approach based on </w:t>
      </w:r>
      <w:r w:rsidR="002A75C0">
        <w:rPr>
          <w:szCs w:val="22"/>
          <w:lang w:val="en-GB"/>
        </w:rPr>
        <w:t xml:space="preserve">annual </w:t>
      </w:r>
      <w:r w:rsidRPr="00E81DD5">
        <w:rPr>
          <w:szCs w:val="22"/>
          <w:lang w:val="en-GB"/>
        </w:rPr>
        <w:t>increment</w:t>
      </w:r>
      <w:r>
        <w:rPr>
          <w:szCs w:val="22"/>
          <w:lang w:val="en-GB"/>
        </w:rPr>
        <w:t xml:space="preserve"> </w:t>
      </w:r>
      <w:r w:rsidR="002A75C0">
        <w:rPr>
          <w:szCs w:val="22"/>
          <w:lang w:val="en-GB"/>
        </w:rPr>
        <w:t xml:space="preserve">of timber (net growth in live tree volume) </w:t>
      </w:r>
      <w:r>
        <w:rPr>
          <w:szCs w:val="22"/>
          <w:lang w:val="en-GB"/>
        </w:rPr>
        <w:t xml:space="preserve">is greater for households by 13% (25 thousand tonnes) and smaller for </w:t>
      </w:r>
      <w:r w:rsidR="002A75C0">
        <w:rPr>
          <w:szCs w:val="22"/>
          <w:lang w:val="en-GB"/>
        </w:rPr>
        <w:t xml:space="preserve">forestry/logging </w:t>
      </w:r>
      <w:r>
        <w:rPr>
          <w:szCs w:val="22"/>
          <w:lang w:val="en-GB"/>
        </w:rPr>
        <w:t>by</w:t>
      </w:r>
      <w:r w:rsidR="002A75C0">
        <w:rPr>
          <w:szCs w:val="22"/>
          <w:lang w:val="en-GB"/>
        </w:rPr>
        <w:t xml:space="preserve"> 13%</w:t>
      </w:r>
      <w:r>
        <w:rPr>
          <w:szCs w:val="22"/>
          <w:lang w:val="en-GB"/>
        </w:rPr>
        <w:t xml:space="preserve"> (30 thousand tonnes) when compared to the results obtained by the</w:t>
      </w:r>
      <w:r w:rsidR="002A75C0">
        <w:rPr>
          <w:szCs w:val="22"/>
          <w:lang w:val="en-GB"/>
        </w:rPr>
        <w:t xml:space="preserve"> forest-area-based</w:t>
      </w:r>
      <w:r>
        <w:rPr>
          <w:szCs w:val="22"/>
          <w:lang w:val="en-GB"/>
        </w:rPr>
        <w:t xml:space="preserve"> approach</w:t>
      </w:r>
      <w:r w:rsidRPr="0065009D">
        <w:rPr>
          <w:szCs w:val="22"/>
          <w:lang w:val="en-GB"/>
        </w:rPr>
        <w:t xml:space="preserve">. </w:t>
      </w:r>
      <w:r w:rsidR="002A75C0">
        <w:rPr>
          <w:szCs w:val="22"/>
          <w:lang w:val="en-GB"/>
        </w:rPr>
        <w:t>There appears to be</w:t>
      </w:r>
      <w:r w:rsidRPr="0065009D">
        <w:rPr>
          <w:szCs w:val="22"/>
          <w:lang w:val="en-GB"/>
        </w:rPr>
        <w:t xml:space="preserve"> considerable spatial heterogeneity </w:t>
      </w:r>
      <w:r>
        <w:rPr>
          <w:szCs w:val="22"/>
          <w:lang w:val="en-GB"/>
        </w:rPr>
        <w:t xml:space="preserve">in the </w:t>
      </w:r>
      <w:r w:rsidR="002A75C0">
        <w:rPr>
          <w:szCs w:val="22"/>
          <w:lang w:val="en-GB"/>
        </w:rPr>
        <w:t xml:space="preserve">annual </w:t>
      </w:r>
      <w:r>
        <w:rPr>
          <w:szCs w:val="22"/>
          <w:lang w:val="en-GB"/>
        </w:rPr>
        <w:t xml:space="preserve">increment </w:t>
      </w:r>
      <w:r w:rsidR="002A75C0">
        <w:rPr>
          <w:szCs w:val="22"/>
          <w:lang w:val="en-GB"/>
        </w:rPr>
        <w:t xml:space="preserve">of timber </w:t>
      </w:r>
      <w:r w:rsidRPr="0065009D">
        <w:rPr>
          <w:szCs w:val="22"/>
          <w:lang w:val="en-GB"/>
        </w:rPr>
        <w:t>on</w:t>
      </w:r>
      <w:r>
        <w:rPr>
          <w:szCs w:val="22"/>
          <w:lang w:val="en-GB"/>
        </w:rPr>
        <w:t xml:space="preserve"> the</w:t>
      </w:r>
      <w:r w:rsidRPr="0065009D">
        <w:rPr>
          <w:szCs w:val="22"/>
          <w:lang w:val="en-GB"/>
        </w:rPr>
        <w:t xml:space="preserve"> lands of different ownership</w:t>
      </w:r>
      <w:r w:rsidR="002A75C0">
        <w:rPr>
          <w:szCs w:val="22"/>
          <w:lang w:val="en-GB"/>
        </w:rPr>
        <w:t>, so we favour</w:t>
      </w:r>
      <w:r>
        <w:rPr>
          <w:szCs w:val="22"/>
          <w:lang w:val="en-GB"/>
        </w:rPr>
        <w:t xml:space="preserve"> the estimat</w:t>
      </w:r>
      <w:r w:rsidR="002A75C0">
        <w:rPr>
          <w:szCs w:val="22"/>
          <w:lang w:val="en-GB"/>
        </w:rPr>
        <w:t>e</w:t>
      </w:r>
      <w:r>
        <w:rPr>
          <w:szCs w:val="22"/>
          <w:lang w:val="en-GB"/>
        </w:rPr>
        <w:t xml:space="preserve">s based on </w:t>
      </w:r>
      <w:r w:rsidR="002A75C0">
        <w:rPr>
          <w:szCs w:val="22"/>
          <w:lang w:val="en-GB"/>
        </w:rPr>
        <w:t xml:space="preserve">annual </w:t>
      </w:r>
      <w:r>
        <w:rPr>
          <w:szCs w:val="22"/>
          <w:lang w:val="en-GB"/>
        </w:rPr>
        <w:t xml:space="preserve">increment </w:t>
      </w:r>
      <w:r w:rsidR="002A75C0">
        <w:rPr>
          <w:szCs w:val="22"/>
          <w:lang w:val="en-GB"/>
        </w:rPr>
        <w:t>of timber</w:t>
      </w:r>
      <w:r>
        <w:rPr>
          <w:szCs w:val="22"/>
          <w:lang w:val="en-GB"/>
        </w:rPr>
        <w:t xml:space="preserve">. </w:t>
      </w:r>
    </w:p>
    <w:p w14:paraId="267CFC98" w14:textId="542B706D" w:rsidR="0025146C" w:rsidRDefault="0025146C" w:rsidP="00064DD8">
      <w:pPr>
        <w:rPr>
          <w:szCs w:val="22"/>
          <w:lang w:val="en-GB"/>
        </w:rPr>
      </w:pPr>
    </w:p>
    <w:p w14:paraId="0B6714D0" w14:textId="42ABB81D" w:rsidR="00064DD8" w:rsidRDefault="00064DD8" w:rsidP="00064DD8">
      <w:pPr>
        <w:rPr>
          <w:szCs w:val="22"/>
          <w:lang w:val="en-GB"/>
        </w:rPr>
      </w:pPr>
      <w:r w:rsidRPr="00E81DD5">
        <w:rPr>
          <w:szCs w:val="22"/>
          <w:lang w:val="en-GB"/>
        </w:rPr>
        <w:t xml:space="preserve">Currently only the positive </w:t>
      </w:r>
      <w:r>
        <w:rPr>
          <w:szCs w:val="22"/>
          <w:lang w:val="en-GB"/>
        </w:rPr>
        <w:t>values of</w:t>
      </w:r>
      <w:r w:rsidR="0038175B">
        <w:rPr>
          <w:szCs w:val="22"/>
          <w:lang w:val="en-GB"/>
        </w:rPr>
        <w:t xml:space="preserve"> net sequestration as</w:t>
      </w:r>
      <w:r>
        <w:rPr>
          <w:szCs w:val="22"/>
          <w:lang w:val="en-GB"/>
        </w:rPr>
        <w:t xml:space="preserve"> </w:t>
      </w:r>
      <w:r w:rsidRPr="00E81DD5">
        <w:rPr>
          <w:szCs w:val="22"/>
          <w:lang w:val="en-GB"/>
        </w:rPr>
        <w:t>ecosystem service</w:t>
      </w:r>
      <w:r>
        <w:rPr>
          <w:szCs w:val="22"/>
          <w:lang w:val="en-GB"/>
        </w:rPr>
        <w:t>s</w:t>
      </w:r>
      <w:r w:rsidRPr="00E81DD5">
        <w:rPr>
          <w:szCs w:val="22"/>
          <w:lang w:val="en-GB"/>
        </w:rPr>
        <w:t xml:space="preserve"> ha</w:t>
      </w:r>
      <w:r>
        <w:rPr>
          <w:szCs w:val="22"/>
          <w:lang w:val="en-GB"/>
        </w:rPr>
        <w:t>ve</w:t>
      </w:r>
      <w:r w:rsidRPr="00E81DD5">
        <w:rPr>
          <w:szCs w:val="22"/>
          <w:lang w:val="en-GB"/>
        </w:rPr>
        <w:t xml:space="preserve"> been considered</w:t>
      </w:r>
      <w:r>
        <w:rPr>
          <w:szCs w:val="22"/>
          <w:lang w:val="en-GB"/>
        </w:rPr>
        <w:t xml:space="preserve">, therefore </w:t>
      </w:r>
      <w:r w:rsidR="007E2B93">
        <w:rPr>
          <w:szCs w:val="22"/>
          <w:lang w:val="en-GB"/>
        </w:rPr>
        <w:t xml:space="preserve">other </w:t>
      </w:r>
      <w:r w:rsidR="0038175B">
        <w:rPr>
          <w:szCs w:val="22"/>
          <w:lang w:val="en-GB"/>
        </w:rPr>
        <w:t xml:space="preserve">ecosystems </w:t>
      </w:r>
      <w:r w:rsidR="000425FE">
        <w:rPr>
          <w:szCs w:val="22"/>
          <w:lang w:val="en-GB"/>
        </w:rPr>
        <w:t xml:space="preserve">which emit carbon and </w:t>
      </w:r>
      <w:r w:rsidR="0038175B">
        <w:rPr>
          <w:szCs w:val="22"/>
          <w:lang w:val="en-GB"/>
        </w:rPr>
        <w:t xml:space="preserve">where net sequestration is negative </w:t>
      </w:r>
      <w:r>
        <w:rPr>
          <w:szCs w:val="22"/>
          <w:lang w:val="en-GB"/>
        </w:rPr>
        <w:t>are excluded</w:t>
      </w:r>
      <w:r w:rsidRPr="00E81DD5">
        <w:rPr>
          <w:szCs w:val="22"/>
          <w:lang w:val="en-GB"/>
        </w:rPr>
        <w:t xml:space="preserve">. </w:t>
      </w:r>
      <w:r>
        <w:rPr>
          <w:szCs w:val="22"/>
          <w:lang w:val="en-GB"/>
        </w:rPr>
        <w:t xml:space="preserve">Incorporating </w:t>
      </w:r>
      <w:r w:rsidRPr="00E81DD5">
        <w:rPr>
          <w:szCs w:val="22"/>
          <w:lang w:val="en-GB"/>
        </w:rPr>
        <w:t xml:space="preserve">other ecosystems </w:t>
      </w:r>
      <w:r>
        <w:rPr>
          <w:szCs w:val="22"/>
          <w:lang w:val="en-GB"/>
        </w:rPr>
        <w:t>and a</w:t>
      </w:r>
      <w:r w:rsidRPr="00E81DD5">
        <w:rPr>
          <w:szCs w:val="22"/>
          <w:lang w:val="en-GB"/>
        </w:rPr>
        <w:t>llocati</w:t>
      </w:r>
      <w:r>
        <w:rPr>
          <w:szCs w:val="22"/>
          <w:lang w:val="en-GB"/>
        </w:rPr>
        <w:t>ng</w:t>
      </w:r>
      <w:r w:rsidRPr="00E81DD5">
        <w:rPr>
          <w:szCs w:val="22"/>
          <w:lang w:val="en-GB"/>
        </w:rPr>
        <w:t xml:space="preserve"> emissions </w:t>
      </w:r>
      <w:r>
        <w:rPr>
          <w:szCs w:val="22"/>
          <w:lang w:val="en-GB"/>
        </w:rPr>
        <w:t xml:space="preserve">to </w:t>
      </w:r>
      <w:r w:rsidRPr="00E81DD5">
        <w:rPr>
          <w:szCs w:val="22"/>
          <w:lang w:val="en-GB"/>
        </w:rPr>
        <w:t>economic activities would be an area of future investigation.</w:t>
      </w:r>
      <w:r>
        <w:rPr>
          <w:szCs w:val="22"/>
          <w:lang w:val="en-GB"/>
        </w:rPr>
        <w:t xml:space="preserve"> Currently there are several data gaps when using spatial data. In the future s</w:t>
      </w:r>
      <w:r w:rsidRPr="00E81DD5">
        <w:rPr>
          <w:szCs w:val="22"/>
          <w:lang w:val="en-GB"/>
        </w:rPr>
        <w:t>patial data of LULUCF</w:t>
      </w:r>
      <w:r>
        <w:rPr>
          <w:szCs w:val="22"/>
          <w:lang w:val="en-GB"/>
        </w:rPr>
        <w:t xml:space="preserve"> </w:t>
      </w:r>
      <w:r w:rsidRPr="00E81DD5">
        <w:rPr>
          <w:szCs w:val="22"/>
          <w:lang w:val="en-GB"/>
        </w:rPr>
        <w:t xml:space="preserve">would </w:t>
      </w:r>
      <w:r>
        <w:rPr>
          <w:szCs w:val="22"/>
          <w:lang w:val="en-GB"/>
        </w:rPr>
        <w:t xml:space="preserve">give the needed detail for better and more direct estimations of sequestration </w:t>
      </w:r>
      <w:r>
        <w:rPr>
          <w:szCs w:val="22"/>
          <w:lang w:val="en-GB"/>
        </w:rPr>
        <w:lastRenderedPageBreak/>
        <w:t xml:space="preserve">and considering also other processes happening on single assets as well. </w:t>
      </w:r>
      <w:r w:rsidRPr="008744B1">
        <w:rPr>
          <w:szCs w:val="22"/>
          <w:lang w:val="en-GB"/>
        </w:rPr>
        <w:t>Monitoring</w:t>
      </w:r>
      <w:r>
        <w:rPr>
          <w:szCs w:val="22"/>
          <w:lang w:val="en-GB"/>
        </w:rPr>
        <w:t xml:space="preserve"> of</w:t>
      </w:r>
      <w:r w:rsidRPr="008744B1">
        <w:rPr>
          <w:szCs w:val="22"/>
          <w:lang w:val="en-GB"/>
        </w:rPr>
        <w:t xml:space="preserve"> the</w:t>
      </w:r>
      <w:r>
        <w:rPr>
          <w:szCs w:val="22"/>
          <w:lang w:val="en-GB"/>
        </w:rPr>
        <w:t xml:space="preserve"> climate and sustainable land management </w:t>
      </w:r>
      <w:r w:rsidRPr="008744B1">
        <w:rPr>
          <w:szCs w:val="22"/>
          <w:lang w:val="en-GB"/>
        </w:rPr>
        <w:t xml:space="preserve">goals requires </w:t>
      </w:r>
      <w:r>
        <w:rPr>
          <w:szCs w:val="22"/>
          <w:lang w:val="en-GB"/>
        </w:rPr>
        <w:t xml:space="preserve">in addition to </w:t>
      </w:r>
      <w:r w:rsidRPr="008744B1">
        <w:rPr>
          <w:szCs w:val="22"/>
          <w:lang w:val="en-GB"/>
        </w:rPr>
        <w:t>sequestration</w:t>
      </w:r>
      <w:r>
        <w:rPr>
          <w:szCs w:val="22"/>
          <w:lang w:val="en-GB"/>
        </w:rPr>
        <w:t xml:space="preserve"> other</w:t>
      </w:r>
      <w:r w:rsidRPr="008744B1">
        <w:rPr>
          <w:szCs w:val="22"/>
          <w:lang w:val="en-GB"/>
        </w:rPr>
        <w:t xml:space="preserve"> comprehensive data </w:t>
      </w:r>
      <w:r>
        <w:rPr>
          <w:szCs w:val="22"/>
          <w:lang w:val="en-GB"/>
        </w:rPr>
        <w:t xml:space="preserve">regarding land/forest management and </w:t>
      </w:r>
      <w:r w:rsidRPr="008744B1">
        <w:rPr>
          <w:szCs w:val="22"/>
          <w:lang w:val="en-GB"/>
        </w:rPr>
        <w:t xml:space="preserve">CO2 emissions </w:t>
      </w:r>
      <w:r>
        <w:rPr>
          <w:szCs w:val="22"/>
          <w:lang w:val="en-GB"/>
        </w:rPr>
        <w:t>to be</w:t>
      </w:r>
      <w:r w:rsidRPr="008744B1">
        <w:rPr>
          <w:szCs w:val="22"/>
          <w:lang w:val="en-GB"/>
        </w:rPr>
        <w:t xml:space="preserve"> integrated with socio-economic data</w:t>
      </w:r>
      <w:r>
        <w:rPr>
          <w:szCs w:val="22"/>
          <w:lang w:val="en-GB"/>
        </w:rPr>
        <w:t xml:space="preserve">. </w:t>
      </w:r>
    </w:p>
    <w:p w14:paraId="1E5EF17C" w14:textId="50C31444" w:rsidR="003052DA" w:rsidRDefault="00457C36" w:rsidP="00064DD8">
      <w:pPr>
        <w:rPr>
          <w:szCs w:val="22"/>
          <w:lang w:val="en-GB"/>
        </w:rPr>
      </w:pPr>
      <w:r>
        <w:rPr>
          <w:noProof/>
          <w:szCs w:val="22"/>
          <w:lang w:val="en-GB"/>
        </w:rPr>
        <w:object w:dxaOrig="1440" w:dyaOrig="1440" w14:anchorId="29041DD9">
          <v:shape id="_x0000_s1040" type="#_x0000_t75" style="position:absolute;left:0;text-align:left;margin-left:0;margin-top:44.4pt;width:468.3pt;height:564.85pt;z-index:251680768;mso-wrap-distance-top:14.4pt;mso-wrap-distance-bottom:14.4pt;mso-position-horizontal-relative:text;mso-position-vertical-relative:text;mso-width-relative:page;mso-height-relative:page">
            <v:imagedata r:id="rId30" o:title=""/>
            <w10:wrap type="topAndBottom"/>
          </v:shape>
          <o:OLEObject Type="Embed" ProgID="Excel.Sheet.12" ShapeID="_x0000_s1040" DrawAspect="Content" ObjectID="_1788781633" r:id="rId31"/>
        </w:object>
      </w:r>
    </w:p>
    <w:p w14:paraId="7E56BC6D" w14:textId="0BE68C8B" w:rsidR="003052DA" w:rsidRDefault="003052DA" w:rsidP="003052DA">
      <w:pPr>
        <w:rPr>
          <w:szCs w:val="22"/>
          <w:lang w:val="en-GB"/>
        </w:rPr>
      </w:pPr>
      <w:r w:rsidRPr="003052DA">
        <w:rPr>
          <w:szCs w:val="22"/>
          <w:lang w:val="en-GB"/>
        </w:rPr>
        <w:lastRenderedPageBreak/>
        <w:t>Linked socioeconomic and environmental data form the bas</w:t>
      </w:r>
      <w:r>
        <w:rPr>
          <w:szCs w:val="22"/>
          <w:lang w:val="en-GB"/>
        </w:rPr>
        <w:t>i</w:t>
      </w:r>
      <w:r w:rsidRPr="003052DA">
        <w:rPr>
          <w:szCs w:val="22"/>
          <w:lang w:val="en-GB"/>
        </w:rPr>
        <w:t>s for analyses related to environmental intensity of production, fairness of environmental taxes (do polluters pay) and other taxes</w:t>
      </w:r>
      <w:r>
        <w:rPr>
          <w:szCs w:val="22"/>
          <w:lang w:val="en-GB"/>
        </w:rPr>
        <w:t>,</w:t>
      </w:r>
      <w:r w:rsidRPr="003052DA">
        <w:rPr>
          <w:szCs w:val="22"/>
          <w:lang w:val="en-GB"/>
        </w:rPr>
        <w:t xml:space="preserve"> etc.  Monitoring of climate and sustainable land management goals requires direct emissions</w:t>
      </w:r>
      <w:r>
        <w:rPr>
          <w:szCs w:val="22"/>
          <w:lang w:val="en-GB"/>
        </w:rPr>
        <w:t>,</w:t>
      </w:r>
      <w:r w:rsidRPr="003052DA">
        <w:rPr>
          <w:szCs w:val="22"/>
          <w:lang w:val="en-GB"/>
        </w:rPr>
        <w:t xml:space="preserve"> sequestration</w:t>
      </w:r>
      <w:r>
        <w:rPr>
          <w:szCs w:val="22"/>
          <w:lang w:val="en-GB"/>
        </w:rPr>
        <w:t>,</w:t>
      </w:r>
      <w:r w:rsidRPr="003052DA">
        <w:rPr>
          <w:szCs w:val="22"/>
          <w:lang w:val="en-GB"/>
        </w:rPr>
        <w:t xml:space="preserve"> and other comprehensive data regarding land/forest management to be integrated with socio-economic data in </w:t>
      </w:r>
      <w:r>
        <w:rPr>
          <w:szCs w:val="22"/>
          <w:lang w:val="en-GB"/>
        </w:rPr>
        <w:t xml:space="preserve">a </w:t>
      </w:r>
      <w:r w:rsidRPr="003052DA">
        <w:rPr>
          <w:szCs w:val="22"/>
          <w:lang w:val="en-GB"/>
        </w:rPr>
        <w:t xml:space="preserve">harmonized framework.  Currently, environmental economic accounts provide comprehensive data for the economy-environment nexus but do not consider land use-related processes. The table below represents our first attempt to incorporate the land use dimension into our application. However, analyses and conclusions based on a single year are limited. Adding </w:t>
      </w:r>
      <w:r>
        <w:rPr>
          <w:szCs w:val="22"/>
          <w:lang w:val="en-GB"/>
        </w:rPr>
        <w:t xml:space="preserve">sequestration </w:t>
      </w:r>
      <w:r w:rsidRPr="003052DA">
        <w:rPr>
          <w:szCs w:val="22"/>
          <w:lang w:val="en-GB"/>
        </w:rPr>
        <w:t xml:space="preserve">data for subsequent periods </w:t>
      </w:r>
      <w:r>
        <w:rPr>
          <w:szCs w:val="22"/>
          <w:lang w:val="en-GB"/>
        </w:rPr>
        <w:t xml:space="preserve">to </w:t>
      </w:r>
      <w:r w:rsidRPr="003052DA">
        <w:rPr>
          <w:szCs w:val="22"/>
          <w:lang w:val="en-GB"/>
        </w:rPr>
        <w:t>the data</w:t>
      </w:r>
      <w:r>
        <w:rPr>
          <w:szCs w:val="22"/>
          <w:lang w:val="en-GB"/>
        </w:rPr>
        <w:t xml:space="preserve"> </w:t>
      </w:r>
      <w:r w:rsidRPr="003052DA">
        <w:rPr>
          <w:szCs w:val="22"/>
          <w:lang w:val="en-GB"/>
        </w:rPr>
        <w:t>cube could facilitate analyses of changes and the effectiveness of measures at the economic activity level.</w:t>
      </w:r>
    </w:p>
    <w:p w14:paraId="101DE420" w14:textId="77777777" w:rsidR="003052DA" w:rsidRPr="003052DA" w:rsidRDefault="003052DA" w:rsidP="003052DA">
      <w:pPr>
        <w:rPr>
          <w:szCs w:val="22"/>
          <w:lang w:val="en-GB"/>
        </w:rPr>
      </w:pPr>
    </w:p>
    <w:p w14:paraId="60FB34FB" w14:textId="631F769A" w:rsidR="003052DA" w:rsidRDefault="003052DA" w:rsidP="003052DA">
      <w:pPr>
        <w:rPr>
          <w:szCs w:val="22"/>
          <w:lang w:val="en-GB"/>
        </w:rPr>
      </w:pPr>
      <w:r w:rsidRPr="003052DA">
        <w:rPr>
          <w:szCs w:val="22"/>
          <w:lang w:val="en-GB"/>
        </w:rPr>
        <w:t xml:space="preserve">The absence of land use change-related aspects has been identified as an obstacle to using environmental accounts data as a basis for mainstream climate policy debates in Estonia. Setting sequestration figures in a comparable format will integrate these accounts into a broader context, helping to better understand the big picture from an economic perspective. Despite efforts and political debate on the importance of sequestration, the quantity of carbon sequestered in Estonia remains low, below 2%. Achieving zero emissions by 2050 (which is part of international efforts to limit global warming to no more than 1.5°C above pre-industrial levels, as outlined in the Paris Agreement) will have several implications for socioeconomic parameters, such as employment and value added in both carbon-sequestering and GHG-emitting activities. </w:t>
      </w:r>
      <w:r>
        <w:rPr>
          <w:szCs w:val="22"/>
          <w:lang w:val="en-GB"/>
        </w:rPr>
        <w:t>The p</w:t>
      </w:r>
      <w:r w:rsidRPr="003052DA">
        <w:rPr>
          <w:szCs w:val="22"/>
          <w:lang w:val="en-GB"/>
        </w:rPr>
        <w:t>roposed framework is</w:t>
      </w:r>
      <w:r>
        <w:rPr>
          <w:szCs w:val="22"/>
          <w:lang w:val="en-GB"/>
        </w:rPr>
        <w:t xml:space="preserve"> the</w:t>
      </w:r>
      <w:r w:rsidRPr="003052DA">
        <w:rPr>
          <w:szCs w:val="22"/>
          <w:lang w:val="en-GB"/>
        </w:rPr>
        <w:t xml:space="preserve"> first step </w:t>
      </w:r>
      <w:r>
        <w:rPr>
          <w:szCs w:val="22"/>
          <w:lang w:val="en-GB"/>
        </w:rPr>
        <w:t>in extending</w:t>
      </w:r>
      <w:r w:rsidRPr="003052DA">
        <w:rPr>
          <w:szCs w:val="22"/>
          <w:lang w:val="en-GB"/>
        </w:rPr>
        <w:t xml:space="preserve"> the accounts</w:t>
      </w:r>
      <w:r w:rsidR="008C48D2">
        <w:rPr>
          <w:szCs w:val="22"/>
          <w:lang w:val="en-GB"/>
        </w:rPr>
        <w:t xml:space="preserve">, and this example showcases current </w:t>
      </w:r>
      <w:r w:rsidRPr="003052DA">
        <w:rPr>
          <w:szCs w:val="22"/>
          <w:lang w:val="en-GB"/>
        </w:rPr>
        <w:t xml:space="preserve">testing </w:t>
      </w:r>
      <w:r w:rsidR="008C48D2">
        <w:rPr>
          <w:szCs w:val="22"/>
          <w:lang w:val="en-GB"/>
        </w:rPr>
        <w:t>on integrating</w:t>
      </w:r>
      <w:r w:rsidRPr="003052DA">
        <w:rPr>
          <w:szCs w:val="22"/>
          <w:lang w:val="en-GB"/>
        </w:rPr>
        <w:t xml:space="preserve"> information from ecosystem accounts and land ownership in Estonia.</w:t>
      </w:r>
    </w:p>
    <w:p w14:paraId="4568E146" w14:textId="6C5ADB9A" w:rsidR="003C1B7A" w:rsidRDefault="00C16F70" w:rsidP="00530AB4">
      <w:pPr>
        <w:pStyle w:val="Heading2"/>
      </w:pPr>
      <w:r>
        <w:t>Conclusions and recommendations</w:t>
      </w:r>
    </w:p>
    <w:p w14:paraId="15C3A75C" w14:textId="77777777" w:rsidR="00A26B3A" w:rsidRDefault="00B76EA7" w:rsidP="00B76EA7">
      <w:r>
        <w:t xml:space="preserve">This paper provides several examples of policy-relevant flows that occur within the environment as a direct result of human economic activity or management. These flows are </w:t>
      </w:r>
      <w:r w:rsidR="00A26B3A">
        <w:t xml:space="preserve">currently </w:t>
      </w:r>
      <w:r>
        <w:t xml:space="preserve">considered out of scope for SEEA-CF accounts because they occur within the environment, rather than crossing the boundary between the environment and the economy. However, these flows are policy-relevant and have important effects on humans and the natural world. </w:t>
      </w:r>
    </w:p>
    <w:p w14:paraId="6F66B93F" w14:textId="77777777" w:rsidR="00A26B3A" w:rsidRDefault="00A26B3A" w:rsidP="00B76EA7"/>
    <w:p w14:paraId="582A8B76" w14:textId="77777777" w:rsidR="00A26B3A" w:rsidRDefault="00A26B3A" w:rsidP="00B76EA7">
      <w:r>
        <w:t>For the update of the SEEA-CF, we would like to make the following recommendations:</w:t>
      </w:r>
    </w:p>
    <w:p w14:paraId="126F2C43" w14:textId="7772AC5D" w:rsidR="00A26B3A" w:rsidRDefault="00A26B3A" w:rsidP="00A26B3A">
      <w:pPr>
        <w:pStyle w:val="ListParagraph"/>
        <w:numPr>
          <w:ilvl w:val="0"/>
          <w:numId w:val="22"/>
        </w:numPr>
      </w:pPr>
      <w:r>
        <w:t>To extend the scope of the SEEA-CF to include human induced flows in the environment, following the definition provided in this paper.</w:t>
      </w:r>
    </w:p>
    <w:p w14:paraId="5ECE5C28" w14:textId="03C2D87F" w:rsidR="00A26B3A" w:rsidRDefault="00A26B3A" w:rsidP="00A26B3A">
      <w:pPr>
        <w:pStyle w:val="ListParagraph"/>
        <w:numPr>
          <w:ilvl w:val="0"/>
          <w:numId w:val="22"/>
        </w:numPr>
      </w:pPr>
      <w:r>
        <w:t>To include these flows in the physical SUTs, as a new group of columns collectively titled “Human</w:t>
      </w:r>
      <w:r w:rsidR="00C4259F">
        <w:t xml:space="preserve"> </w:t>
      </w:r>
      <w:r>
        <w:t>induced flows in nature.”</w:t>
      </w:r>
    </w:p>
    <w:p w14:paraId="57C5B951" w14:textId="488E44DA" w:rsidR="00B76EA7" w:rsidRDefault="00B36DA0" w:rsidP="00A26B3A">
      <w:pPr>
        <w:pStyle w:val="ListParagraph"/>
        <w:numPr>
          <w:ilvl w:val="0"/>
          <w:numId w:val="22"/>
        </w:numPr>
      </w:pPr>
      <w:r>
        <w:lastRenderedPageBreak/>
        <w:t>In general, columns in this group represent processes such as LULUCF, transboundary pollution flows, etc. rather than industries</w:t>
      </w:r>
      <w:r w:rsidR="00126F4C">
        <w:t xml:space="preserve">, since many flows which occur within the environment would be difficult or impossible to attribute to industries with any accuracy. We recommend that the choice of which columns to include in this section be left to each nation’s SEEA account compilers, based on </w:t>
      </w:r>
      <w:r w:rsidR="00373F07">
        <w:t xml:space="preserve">magnitude, </w:t>
      </w:r>
      <w:r w:rsidR="00126F4C">
        <w:t>policy relevance</w:t>
      </w:r>
      <w:r w:rsidR="00373F07">
        <w:t>,</w:t>
      </w:r>
      <w:r w:rsidR="00126F4C">
        <w:t xml:space="preserve"> and data availability</w:t>
      </w:r>
      <w:r w:rsidR="00373F07">
        <w:t xml:space="preserve"> (</w:t>
      </w:r>
      <w:r w:rsidR="00126F4C">
        <w:t>which may vary by nation</w:t>
      </w:r>
      <w:r w:rsidR="00373F07">
        <w:t>)</w:t>
      </w:r>
      <w:r w:rsidR="00126F4C">
        <w:t>.</w:t>
      </w:r>
    </w:p>
    <w:p w14:paraId="3B48B747" w14:textId="5BF1CA23" w:rsidR="00A26B3A" w:rsidRDefault="00A26B3A" w:rsidP="00D35E33">
      <w:pPr>
        <w:pStyle w:val="ListParagraph"/>
        <w:numPr>
          <w:ilvl w:val="0"/>
          <w:numId w:val="22"/>
        </w:numPr>
      </w:pPr>
      <w:r>
        <w:t>To include (in short) the four examples</w:t>
      </w:r>
      <w:r w:rsidR="00A866D6">
        <w:t xml:space="preserve"> of human induced flows</w:t>
      </w:r>
      <w:r>
        <w:t xml:space="preserve"> described in this paper in the SEEA-CF.</w:t>
      </w:r>
    </w:p>
    <w:p w14:paraId="4B97B8B9" w14:textId="77777777" w:rsidR="00770FA6" w:rsidRDefault="00770FA6" w:rsidP="00B76EA7"/>
    <w:p w14:paraId="244015B4" w14:textId="121CC9DB" w:rsidR="00770FA6" w:rsidRDefault="007B5841" w:rsidP="00B76EA7">
      <w:r>
        <w:t>We welcome discussion regarding this proposal. Some open questions include:</w:t>
      </w:r>
    </w:p>
    <w:p w14:paraId="63FE3E64" w14:textId="4A011442" w:rsidR="003F09AD" w:rsidRDefault="007B5841" w:rsidP="003F09AD">
      <w:pPr>
        <w:pStyle w:val="ListParagraph"/>
        <w:numPr>
          <w:ilvl w:val="0"/>
          <w:numId w:val="21"/>
        </w:numPr>
      </w:pPr>
      <w:r>
        <w:t>Are there other examples of flows that</w:t>
      </w:r>
      <w:r w:rsidR="003F09AD">
        <w:t xml:space="preserve"> should be considered in</w:t>
      </w:r>
      <w:r w:rsidR="00A866D6">
        <w:t xml:space="preserve"> </w:t>
      </w:r>
      <w:r w:rsidR="003F09AD">
        <w:t>scope for this framework?</w:t>
      </w:r>
    </w:p>
    <w:p w14:paraId="037BF1DD" w14:textId="104E14E0" w:rsidR="007B5841" w:rsidRDefault="007B5841" w:rsidP="003F09AD">
      <w:pPr>
        <w:pStyle w:val="ListParagraph"/>
        <w:numPr>
          <w:ilvl w:val="0"/>
          <w:numId w:val="21"/>
        </w:numPr>
      </w:pPr>
      <w:r>
        <w:t xml:space="preserve">How should </w:t>
      </w:r>
      <w:r w:rsidR="009F4E84">
        <w:t>flows of secondary particulate matter formed from human-emitted pollutants reacting with volatile organic compounds from nature be treated?</w:t>
      </w:r>
    </w:p>
    <w:p w14:paraId="14442718" w14:textId="4AE99117" w:rsidR="003F09AD" w:rsidRDefault="003F09AD" w:rsidP="003F09AD">
      <w:pPr>
        <w:pStyle w:val="ListParagraph"/>
        <w:numPr>
          <w:ilvl w:val="0"/>
          <w:numId w:val="21"/>
        </w:numPr>
      </w:pPr>
      <w:r>
        <w:t xml:space="preserve">Should methane flows be </w:t>
      </w:r>
      <w:r w:rsidR="007B5841">
        <w:t>classified as short-cycle/long-cycle similarly to carbon dioxide?</w:t>
      </w:r>
    </w:p>
    <w:p w14:paraId="6DBF9485" w14:textId="33DB5CF4" w:rsidR="007B5841" w:rsidRDefault="007B5841" w:rsidP="00D35E33">
      <w:pPr>
        <w:pStyle w:val="ListParagraph"/>
        <w:numPr>
          <w:ilvl w:val="0"/>
          <w:numId w:val="21"/>
        </w:numPr>
      </w:pPr>
      <w:r>
        <w:t xml:space="preserve">Should peat-related carbon flows be considered short- or long-cycle? </w:t>
      </w:r>
    </w:p>
    <w:p w14:paraId="4BEA779B" w14:textId="2C697893" w:rsidR="009D5378" w:rsidRDefault="00E45829" w:rsidP="009D5378">
      <w:pPr>
        <w:pStyle w:val="ListParagraph"/>
        <w:numPr>
          <w:ilvl w:val="0"/>
          <w:numId w:val="21"/>
        </w:numPr>
      </w:pPr>
      <w:r>
        <w:t xml:space="preserve">Should </w:t>
      </w:r>
      <w:r w:rsidR="00AD103B">
        <w:t>geologic storage for carbon dioxide be considered in the environment or in the economy?</w:t>
      </w:r>
    </w:p>
    <w:p w14:paraId="333F9357" w14:textId="77777777" w:rsidR="0041129C" w:rsidRDefault="0041129C">
      <w:pPr>
        <w:spacing w:after="160" w:line="259" w:lineRule="auto"/>
        <w:jc w:val="left"/>
      </w:pPr>
      <w:r>
        <w:br w:type="page"/>
      </w:r>
    </w:p>
    <w:sdt>
      <w:sdtPr>
        <w:rPr>
          <w:rFonts w:ascii="Sylfaen" w:hAnsi="Sylfaen" w:cstheme="minorBidi"/>
          <w:bCs w:val="0"/>
          <w:color w:val="auto"/>
          <w:sz w:val="22"/>
          <w:szCs w:val="24"/>
        </w:rPr>
        <w:id w:val="-2144805227"/>
        <w:docPartObj>
          <w:docPartGallery w:val="Bibliographies"/>
          <w:docPartUnique/>
        </w:docPartObj>
      </w:sdtPr>
      <w:sdtEndPr/>
      <w:sdtContent>
        <w:p w14:paraId="59D66D61" w14:textId="009DC829" w:rsidR="003C1B7A" w:rsidRDefault="003C1B7A">
          <w:pPr>
            <w:pStyle w:val="Heading1"/>
          </w:pPr>
          <w:r>
            <w:t>References</w:t>
          </w:r>
        </w:p>
        <w:sdt>
          <w:sdtPr>
            <w:id w:val="-573587230"/>
            <w:bibliography/>
          </w:sdtPr>
          <w:sdtEndPr/>
          <w:sdtContent>
            <w:p w14:paraId="3AFC07A5" w14:textId="77777777" w:rsidR="00CD5E1D" w:rsidRDefault="003C1B7A" w:rsidP="00CD5E1D">
              <w:pPr>
                <w:pStyle w:val="Bibliography"/>
                <w:ind w:left="720" w:hanging="720"/>
                <w:rPr>
                  <w:noProof/>
                </w:rPr>
              </w:pPr>
              <w:r>
                <w:fldChar w:fldCharType="begin"/>
              </w:r>
              <w:r>
                <w:instrText xml:space="preserve"> BIBLIOGRAPHY </w:instrText>
              </w:r>
              <w:r>
                <w:fldChar w:fldCharType="separate"/>
              </w:r>
              <w:r w:rsidR="00CD5E1D">
                <w:rPr>
                  <w:noProof/>
                </w:rPr>
                <w:t xml:space="preserve">Fine, P. M., Sioutas, C., &amp; Solomon, P. A. (2012). Secondary Particulate Matter in the United States: Insights from the Particulate Matter Supersites Program and Related Studies. </w:t>
              </w:r>
              <w:r w:rsidR="00CD5E1D">
                <w:rPr>
                  <w:i/>
                  <w:iCs/>
                  <w:noProof/>
                </w:rPr>
                <w:t>Journal of the Air and Waste Management Association</w:t>
              </w:r>
              <w:r w:rsidR="00CD5E1D">
                <w:rPr>
                  <w:noProof/>
                </w:rPr>
                <w:t>.</w:t>
              </w:r>
            </w:p>
            <w:p w14:paraId="133B5B47" w14:textId="155B722B" w:rsidR="000D0848" w:rsidRPr="00D35E33" w:rsidRDefault="000D0848" w:rsidP="00D35E33">
              <w:pPr>
                <w:rPr>
                  <w:szCs w:val="22"/>
                </w:rPr>
              </w:pPr>
              <w:r w:rsidRPr="00D35E33">
                <w:rPr>
                  <w:rFonts w:cs="Arial"/>
                  <w:color w:val="222222"/>
                  <w:szCs w:val="22"/>
                  <w:shd w:val="clear" w:color="auto" w:fill="FFFFFF"/>
                </w:rPr>
                <w:t>Hammar, T. (2017). Climate impacts of woody biomass use for heat and power production in Sweden. </w:t>
              </w:r>
              <w:r w:rsidRPr="00D35E33">
                <w:rPr>
                  <w:rFonts w:cs="Arial"/>
                  <w:i/>
                  <w:iCs/>
                  <w:color w:val="222222"/>
                  <w:szCs w:val="22"/>
                  <w:shd w:val="clear" w:color="auto" w:fill="FFFFFF"/>
                </w:rPr>
                <w:t>Acta Universitatis Agriculturae Sueciae</w:t>
              </w:r>
              <w:r w:rsidRPr="00D35E33">
                <w:rPr>
                  <w:rFonts w:cs="Arial"/>
                  <w:color w:val="222222"/>
                  <w:szCs w:val="22"/>
                  <w:shd w:val="clear" w:color="auto" w:fill="FFFFFF"/>
                </w:rPr>
                <w:t>, (2017: 49).</w:t>
              </w:r>
            </w:p>
            <w:p w14:paraId="71BE1E1A" w14:textId="77777777" w:rsidR="00CD5E1D" w:rsidRDefault="00CD5E1D" w:rsidP="00CD5E1D">
              <w:pPr>
                <w:pStyle w:val="Bibliography"/>
                <w:ind w:left="720" w:hanging="720"/>
                <w:rPr>
                  <w:noProof/>
                </w:rPr>
              </w:pPr>
              <w:r>
                <w:rPr>
                  <w:noProof/>
                </w:rPr>
                <w:t xml:space="preserve">Schenau, S. (2023). </w:t>
              </w:r>
              <w:r>
                <w:rPr>
                  <w:i/>
                  <w:iCs/>
                  <w:noProof/>
                </w:rPr>
                <w:t>LULUCF and SEEA CF.</w:t>
              </w:r>
              <w:r>
                <w:rPr>
                  <w:noProof/>
                </w:rPr>
                <w:t xml:space="preserve"> Pretoria, South Africa: London Group 29th Meeting.</w:t>
              </w:r>
            </w:p>
            <w:p w14:paraId="2595D17E" w14:textId="77777777" w:rsidR="00CD5E1D" w:rsidRDefault="00CD5E1D" w:rsidP="00CD5E1D">
              <w:pPr>
                <w:pStyle w:val="Bibliography"/>
                <w:ind w:left="720" w:hanging="720"/>
                <w:rPr>
                  <w:noProof/>
                </w:rPr>
              </w:pPr>
              <w:r w:rsidRPr="00D35E33">
                <w:rPr>
                  <w:noProof/>
                  <w:lang w:val="sv-SE"/>
                </w:rPr>
                <w:t xml:space="preserve">Vetrella, G., Femia, A., &amp; Tubiello, F. (2017). </w:t>
              </w:r>
              <w:r>
                <w:rPr>
                  <w:i/>
                  <w:iCs/>
                  <w:noProof/>
                </w:rPr>
                <w:t>Completing the links between UNFCCC reporting categories and SEEA.</w:t>
              </w:r>
              <w:r>
                <w:rPr>
                  <w:noProof/>
                </w:rPr>
                <w:t xml:space="preserve"> San José, Costa Rica: London Group 23rd Meeting.</w:t>
              </w:r>
            </w:p>
            <w:p w14:paraId="7F92A6F6" w14:textId="77777777" w:rsidR="00CD5E1D" w:rsidRDefault="00CD5E1D" w:rsidP="00CD5E1D">
              <w:pPr>
                <w:pStyle w:val="Bibliography"/>
                <w:ind w:left="720" w:hanging="720"/>
                <w:rPr>
                  <w:noProof/>
                </w:rPr>
              </w:pPr>
              <w:r>
                <w:rPr>
                  <w:noProof/>
                </w:rPr>
                <w:t xml:space="preserve">Zhang, H., Li, N., Tang, K., Liao, H., Shi, C., Huang, C., . . . Hu, J. (2022). Estimation of secondary PM2.5 in China and the United States using a multi-tracer approach. </w:t>
              </w:r>
              <w:r>
                <w:rPr>
                  <w:i/>
                  <w:iCs/>
                  <w:noProof/>
                </w:rPr>
                <w:t>Atmospheric Chemistry and Physics</w:t>
              </w:r>
              <w:r>
                <w:rPr>
                  <w:noProof/>
                </w:rPr>
                <w:t>.</w:t>
              </w:r>
            </w:p>
            <w:p w14:paraId="122F1302" w14:textId="21958861" w:rsidR="003C1B7A" w:rsidRDefault="003C1B7A" w:rsidP="00CD5E1D">
              <w:r>
                <w:rPr>
                  <w:b/>
                  <w:bCs/>
                  <w:noProof/>
                </w:rPr>
                <w:fldChar w:fldCharType="end"/>
              </w:r>
            </w:p>
          </w:sdtContent>
        </w:sdt>
      </w:sdtContent>
    </w:sdt>
    <w:p w14:paraId="385451F6" w14:textId="77777777" w:rsidR="00646D61" w:rsidRPr="00646D61" w:rsidRDefault="00646D61" w:rsidP="00646D61"/>
    <w:sectPr w:rsidR="00646D61" w:rsidRPr="00646D61" w:rsidSect="00D35E33">
      <w:footerReference w:type="default" r:id="rId32"/>
      <w:footerReference w:type="first" r:id="rId33"/>
      <w:pgSz w:w="12240" w:h="15840"/>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092A7" w14:textId="77777777" w:rsidR="00F70449" w:rsidRDefault="00F70449" w:rsidP="003746E0">
      <w:pPr>
        <w:spacing w:line="240" w:lineRule="auto"/>
      </w:pPr>
      <w:r>
        <w:separator/>
      </w:r>
    </w:p>
  </w:endnote>
  <w:endnote w:type="continuationSeparator" w:id="0">
    <w:p w14:paraId="31FE2AA2" w14:textId="77777777" w:rsidR="00F70449" w:rsidRDefault="00F70449" w:rsidP="00374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charset w:val="00"/>
    <w:family w:val="roman"/>
    <w:pitch w:val="variable"/>
    <w:sig w:usb0="A00002EF" w:usb1="5000204B" w:usb2="00000000" w:usb3="00000000" w:csb0="00000097"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Gotham Bold">
    <w:altName w:val="Calibri"/>
    <w:panose1 w:val="00000000000000000000"/>
    <w:charset w:val="00"/>
    <w:family w:val="modern"/>
    <w:notTrueType/>
    <w:pitch w:val="variable"/>
    <w:sig w:usb0="A00002FF" w:usb1="4000005B" w:usb2="00000000" w:usb3="00000000" w:csb0="0000009F" w:csb1="00000000"/>
  </w:font>
  <w:font w:name="MinionPro-Regular">
    <w:altName w:val="Times New Roman"/>
    <w:charset w:val="00"/>
    <w:family w:val="auto"/>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ercury Text G2">
    <w:panose1 w:val="00000000000000000000"/>
    <w:charset w:val="00"/>
    <w:family w:val="modern"/>
    <w:notTrueType/>
    <w:pitch w:val="variable"/>
    <w:sig w:usb0="00000087"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4051"/>
      <w:docPartObj>
        <w:docPartGallery w:val="Page Numbers (Bottom of Page)"/>
        <w:docPartUnique/>
      </w:docPartObj>
    </w:sdtPr>
    <w:sdtEndPr>
      <w:rPr>
        <w:noProof/>
      </w:rPr>
    </w:sdtEndPr>
    <w:sdtContent>
      <w:p w14:paraId="3CB1FEA9" w14:textId="7545361A" w:rsidR="00AD4193" w:rsidRDefault="00AD41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F6EA01" w14:textId="77777777" w:rsidR="00AD4193" w:rsidRDefault="00AD4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FFEA" w14:textId="2B76139D" w:rsidR="00F70449" w:rsidRDefault="00F70449">
    <w:pPr>
      <w:pStyle w:val="Footer"/>
    </w:pPr>
    <w:r>
      <w:t>The views expressed in this paper are those of the authors and do not necessarily represent their respective employers.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BD67" w14:textId="77777777" w:rsidR="00F70449" w:rsidRDefault="00F70449" w:rsidP="003746E0">
      <w:pPr>
        <w:spacing w:line="240" w:lineRule="auto"/>
      </w:pPr>
      <w:r>
        <w:separator/>
      </w:r>
    </w:p>
  </w:footnote>
  <w:footnote w:type="continuationSeparator" w:id="0">
    <w:p w14:paraId="40B411E3" w14:textId="77777777" w:rsidR="00F70449" w:rsidRDefault="00F70449" w:rsidP="003746E0">
      <w:pPr>
        <w:spacing w:line="240" w:lineRule="auto"/>
      </w:pPr>
      <w:r>
        <w:continuationSeparator/>
      </w:r>
    </w:p>
  </w:footnote>
  <w:footnote w:id="1">
    <w:p w14:paraId="3A06F012" w14:textId="0A765F96" w:rsidR="00F70449" w:rsidRDefault="00F70449">
      <w:pPr>
        <w:pStyle w:val="FootnoteText"/>
      </w:pPr>
      <w:r>
        <w:rPr>
          <w:rStyle w:val="FootnoteReference"/>
        </w:rPr>
        <w:footnoteRef/>
      </w:r>
      <w:r>
        <w:t xml:space="preserve"> U</w:t>
      </w:r>
      <w:r w:rsidR="00D35E33">
        <w:t>nited States</w:t>
      </w:r>
      <w:r>
        <w:t xml:space="preserve"> Bureau of Economic Analysis</w:t>
      </w:r>
    </w:p>
  </w:footnote>
  <w:footnote w:id="2">
    <w:p w14:paraId="798E1437" w14:textId="4FDD51CC" w:rsidR="00F70449" w:rsidRDefault="00F70449">
      <w:pPr>
        <w:pStyle w:val="FootnoteText"/>
      </w:pPr>
      <w:r>
        <w:rPr>
          <w:rStyle w:val="FootnoteReference"/>
        </w:rPr>
        <w:footnoteRef/>
      </w:r>
      <w:r>
        <w:t xml:space="preserve"> Statistics Sweden</w:t>
      </w:r>
    </w:p>
  </w:footnote>
  <w:footnote w:id="3">
    <w:p w14:paraId="4F5BD8EB" w14:textId="71D459A9" w:rsidR="00F70449" w:rsidRDefault="00F70449">
      <w:pPr>
        <w:pStyle w:val="FootnoteText"/>
      </w:pPr>
      <w:r>
        <w:rPr>
          <w:rStyle w:val="FootnoteReference"/>
        </w:rPr>
        <w:footnoteRef/>
      </w:r>
      <w:r>
        <w:t xml:space="preserve"> Statistics Estonia</w:t>
      </w:r>
    </w:p>
  </w:footnote>
  <w:footnote w:id="4">
    <w:p w14:paraId="3985AC37" w14:textId="453BC078" w:rsidR="00F70449" w:rsidRDefault="00F70449">
      <w:pPr>
        <w:pStyle w:val="FootnoteText"/>
      </w:pPr>
      <w:r>
        <w:rPr>
          <w:rStyle w:val="FootnoteReference"/>
        </w:rPr>
        <w:footnoteRef/>
      </w:r>
      <w:r>
        <w:t xml:space="preserve"> Italian National Institute of Statistics</w:t>
      </w:r>
    </w:p>
  </w:footnote>
  <w:footnote w:id="5">
    <w:p w14:paraId="7B6B9AF4" w14:textId="05840E7C" w:rsidR="00F70449" w:rsidRDefault="00F70449">
      <w:pPr>
        <w:pStyle w:val="FootnoteText"/>
      </w:pPr>
      <w:r>
        <w:rPr>
          <w:rStyle w:val="FootnoteReference"/>
        </w:rPr>
        <w:footnoteRef/>
      </w:r>
      <w:r>
        <w:t xml:space="preserve"> Statistics Netherlands</w:t>
      </w:r>
    </w:p>
  </w:footnote>
  <w:footnote w:id="6">
    <w:p w14:paraId="2C9A0701" w14:textId="77777777" w:rsidR="00F70449" w:rsidRDefault="00F70449" w:rsidP="008277A2">
      <w:pPr>
        <w:pStyle w:val="FootnoteText"/>
      </w:pPr>
      <w:r>
        <w:rPr>
          <w:rStyle w:val="FootnoteReference"/>
        </w:rPr>
        <w:footnoteRef/>
      </w:r>
      <w:r>
        <w:t xml:space="preserve"> Examples from SEEA-CF include water evaporation and precipitation or soil erosion.</w:t>
      </w:r>
    </w:p>
  </w:footnote>
  <w:footnote w:id="7">
    <w:p w14:paraId="20891E56" w14:textId="0F7D6A2C" w:rsidR="00F70449" w:rsidRDefault="00F70449">
      <w:pPr>
        <w:pStyle w:val="FootnoteText"/>
      </w:pPr>
      <w:r>
        <w:rPr>
          <w:rStyle w:val="FootnoteReference"/>
        </w:rPr>
        <w:footnoteRef/>
      </w:r>
      <w:r>
        <w:t xml:space="preserve"> These organic compounds may be natural or anthropogenic in origin.  </w:t>
      </w:r>
    </w:p>
  </w:footnote>
  <w:footnote w:id="8">
    <w:p w14:paraId="38C94D39" w14:textId="51FE5E82" w:rsidR="00F70449" w:rsidRDefault="00F70449">
      <w:pPr>
        <w:pStyle w:val="FootnoteText"/>
      </w:pPr>
      <w:r>
        <w:rPr>
          <w:rStyle w:val="FootnoteReference"/>
        </w:rPr>
        <w:footnoteRef/>
      </w:r>
      <w:r>
        <w:t xml:space="preserve"> Particularly for water pollutants and non-GHG air pollutants.</w:t>
      </w:r>
    </w:p>
  </w:footnote>
  <w:footnote w:id="9">
    <w:p w14:paraId="02CCEC1B" w14:textId="34A93AF0" w:rsidR="00F70449" w:rsidRDefault="00F70449">
      <w:pPr>
        <w:pStyle w:val="FootnoteText"/>
      </w:pPr>
      <w:r>
        <w:rPr>
          <w:rStyle w:val="FootnoteReference"/>
        </w:rPr>
        <w:footnoteRef/>
      </w:r>
      <w:r>
        <w:t xml:space="preserve"> A related concept is that of </w:t>
      </w:r>
      <w:r w:rsidRPr="00AD2C87">
        <w:rPr>
          <w:szCs w:val="22"/>
        </w:rPr>
        <w:t>natural resource residuals (SEEA CF 3.49-3.50)</w:t>
      </w:r>
      <w:r>
        <w:rPr>
          <w:szCs w:val="22"/>
        </w:rPr>
        <w:t>,</w:t>
      </w:r>
      <w:r w:rsidRPr="00AD2C87">
        <w:rPr>
          <w:szCs w:val="22"/>
        </w:rPr>
        <w:t xml:space="preserve"> natural resource inputs that </w:t>
      </w:r>
      <w:r>
        <w:rPr>
          <w:szCs w:val="22"/>
        </w:rPr>
        <w:t>are not</w:t>
      </w:r>
      <w:r w:rsidRPr="00AD2C87">
        <w:rPr>
          <w:szCs w:val="22"/>
        </w:rPr>
        <w:t xml:space="preserve"> incorporated into production processes </w:t>
      </w:r>
      <w:r>
        <w:rPr>
          <w:szCs w:val="22"/>
        </w:rPr>
        <w:t>but instead are</w:t>
      </w:r>
      <w:r w:rsidRPr="00AD2C87">
        <w:rPr>
          <w:szCs w:val="22"/>
        </w:rPr>
        <w:t xml:space="preserve"> immediately return</w:t>
      </w:r>
      <w:r>
        <w:rPr>
          <w:szCs w:val="22"/>
        </w:rPr>
        <w:t>ed</w:t>
      </w:r>
      <w:r w:rsidRPr="00AD2C87">
        <w:rPr>
          <w:szCs w:val="22"/>
        </w:rPr>
        <w:t xml:space="preserve"> to the environment. Examples include </w:t>
      </w:r>
      <w:r w:rsidRPr="00082AC5">
        <w:rPr>
          <w:rFonts w:ascii="AGaramondPro-Regular" w:hAnsi="AGaramondPro-Regular" w:cs="AGaramondPro-Regular"/>
          <w:szCs w:val="22"/>
        </w:rPr>
        <w:t>the flaring and venting of natural gas, discarded catch in fishing and felling residues from the harvesting of natural timber resources.</w:t>
      </w:r>
      <w:r>
        <w:rPr>
          <w:rFonts w:ascii="AGaramondPro-Regular" w:hAnsi="AGaramondPro-Regular" w:cs="AGaramondPro-Regular"/>
          <w:szCs w:val="22"/>
        </w:rPr>
        <w:t xml:space="preserve"> </w:t>
      </w:r>
      <w:r>
        <w:t>Natural resource residuals are recorded in the PSUT as a flow from the environment to the environment, i.e. a flow that stays within the environment.</w:t>
      </w:r>
    </w:p>
  </w:footnote>
  <w:footnote w:id="10">
    <w:p w14:paraId="3717E814" w14:textId="6A79F65C" w:rsidR="00F70449" w:rsidRDefault="00F70449">
      <w:pPr>
        <w:pStyle w:val="FootnoteText"/>
      </w:pPr>
      <w:r>
        <w:rPr>
          <w:rStyle w:val="FootnoteReference"/>
        </w:rPr>
        <w:footnoteRef/>
      </w:r>
      <w:r>
        <w:t xml:space="preserve"> For the air emissions account specifically, the use table under the current SEEA-CF consists of a single column called “Environment.” Under this proposal, the use table would be populated with several additional columns (including those listed here) and present a more nuanced view of what happens with emissions released into the atmosphere.</w:t>
      </w:r>
    </w:p>
  </w:footnote>
  <w:footnote w:id="11">
    <w:p w14:paraId="0CCF1355" w14:textId="31DB1E21" w:rsidR="00F70449" w:rsidRDefault="00F70449">
      <w:pPr>
        <w:pStyle w:val="FootnoteText"/>
      </w:pPr>
      <w:r>
        <w:rPr>
          <w:rStyle w:val="FootnoteReference"/>
        </w:rPr>
        <w:footnoteRef/>
      </w:r>
      <w:r>
        <w:t xml:space="preserve"> A proposal linking UNFCCC data reporting to the SEEA Agriculture, Forestry, and Fisheries framework </w:t>
      </w:r>
      <w:sdt>
        <w:sdtPr>
          <w:id w:val="-328595059"/>
          <w:citation/>
        </w:sdtPr>
        <w:sdtEndPr/>
        <w:sdtContent>
          <w:r>
            <w:fldChar w:fldCharType="begin"/>
          </w:r>
          <w:r>
            <w:instrText xml:space="preserve"> CITATION Vet17 \l 1033 </w:instrText>
          </w:r>
          <w:r>
            <w:fldChar w:fldCharType="separate"/>
          </w:r>
          <w:r>
            <w:rPr>
              <w:noProof/>
            </w:rPr>
            <w:t>(Vetrella, Femia, &amp; Tubiello, 2017)</w:t>
          </w:r>
          <w:r>
            <w:fldChar w:fldCharType="end"/>
          </w:r>
        </w:sdtContent>
      </w:sdt>
      <w:r>
        <w:t xml:space="preserve"> also uses a similar approach to mapping LULUCF emissions to SEEA tables, though not to the physical SUTs.</w:t>
      </w:r>
    </w:p>
  </w:footnote>
  <w:footnote w:id="12">
    <w:p w14:paraId="58DB9849" w14:textId="3F04821E" w:rsidR="00F70449" w:rsidRDefault="00F70449">
      <w:pPr>
        <w:pStyle w:val="FootnoteText"/>
      </w:pPr>
      <w:r>
        <w:rPr>
          <w:rStyle w:val="FootnoteReference"/>
        </w:rPr>
        <w:footnoteRef/>
      </w:r>
      <w:r>
        <w:t xml:space="preserve"> Examples of these difficulties are discussed briefly in section </w:t>
      </w:r>
      <w:r>
        <w:fldChar w:fldCharType="begin"/>
      </w:r>
      <w:r>
        <w:instrText xml:space="preserve"> REF _Ref148536736 \w \h </w:instrText>
      </w:r>
      <w:r>
        <w:fldChar w:fldCharType="separate"/>
      </w:r>
      <w:r>
        <w:t>2</w:t>
      </w:r>
      <w:r>
        <w:fldChar w:fldCharType="end"/>
      </w:r>
      <w:r>
        <w:t xml:space="preserve">, examples </w:t>
      </w:r>
      <w:r>
        <w:fldChar w:fldCharType="begin"/>
      </w:r>
      <w:r>
        <w:instrText xml:space="preserve"> REF _Ref148947332 \r \h </w:instrText>
      </w:r>
      <w:r>
        <w:fldChar w:fldCharType="separate"/>
      </w:r>
      <w:r>
        <w:t>A</w:t>
      </w:r>
      <w:r>
        <w:fldChar w:fldCharType="end"/>
      </w:r>
      <w:r>
        <w:t xml:space="preserve"> and </w:t>
      </w:r>
      <w:r>
        <w:fldChar w:fldCharType="begin"/>
      </w:r>
      <w:r>
        <w:instrText xml:space="preserve"> REF _Ref148947466 \r \h </w:instrText>
      </w:r>
      <w:r>
        <w:fldChar w:fldCharType="separate"/>
      </w:r>
      <w:r>
        <w:t>B</w:t>
      </w:r>
      <w:r>
        <w:fldChar w:fldCharType="end"/>
      </w:r>
      <w:r>
        <w:t>.</w:t>
      </w:r>
    </w:p>
  </w:footnote>
  <w:footnote w:id="13">
    <w:p w14:paraId="6843EF89" w14:textId="72A13EFF" w:rsidR="00F70449" w:rsidRDefault="00F70449">
      <w:pPr>
        <w:pStyle w:val="FootnoteText"/>
      </w:pPr>
      <w:r>
        <w:rPr>
          <w:rStyle w:val="FootnoteReference"/>
        </w:rPr>
        <w:footnoteRef/>
      </w:r>
      <w:r>
        <w:t xml:space="preserve"> Peat (waterlogged, partially decayed biomass formed in some wetland ecosystems) is not a true fossil fuel but has very slow regeneration rates. Further discussion and expert consultation should inform the classification of peat-related carbon flows under this framework. </w:t>
      </w:r>
    </w:p>
  </w:footnote>
  <w:footnote w:id="14">
    <w:p w14:paraId="29613FE6" w14:textId="24823589" w:rsidR="00F70449" w:rsidRDefault="00F70449">
      <w:pPr>
        <w:pStyle w:val="FootnoteText"/>
      </w:pPr>
      <w:r>
        <w:rPr>
          <w:rStyle w:val="FootnoteReference"/>
        </w:rPr>
        <w:footnoteRef/>
      </w:r>
      <w:r>
        <w:t xml:space="preserve"> We believe that methane (CH4) similarly may be classified as either short- or long-cycle</w:t>
      </w:r>
      <w:r w:rsidR="00FD46AE">
        <w:t>. F</w:t>
      </w:r>
      <w:r>
        <w:t xml:space="preserve">urther discussion and expert consultation should inform the classification of different methane flows. </w:t>
      </w:r>
    </w:p>
  </w:footnote>
  <w:footnote w:id="15">
    <w:p w14:paraId="18D80776" w14:textId="1E4BABA7" w:rsidR="00E45829" w:rsidRDefault="00E45829">
      <w:pPr>
        <w:pStyle w:val="FootnoteText"/>
      </w:pPr>
      <w:r>
        <w:rPr>
          <w:rStyle w:val="FootnoteReference"/>
        </w:rPr>
        <w:footnoteRef/>
      </w:r>
      <w:r>
        <w:t xml:space="preserve"> Other possible approaches </w:t>
      </w:r>
      <w:proofErr w:type="gramStart"/>
      <w:r>
        <w:t>include:</w:t>
      </w:r>
      <w:proofErr w:type="gramEnd"/>
      <w:r>
        <w:t xml:space="preserve"> geologic storage could be considered part of the economy, as landfills are, or the capturing activities of industries could be shown as a use under human induced flows and a supply (to geologic storage). </w:t>
      </w:r>
    </w:p>
  </w:footnote>
  <w:footnote w:id="16">
    <w:p w14:paraId="77FCCCDE" w14:textId="5AB87F28" w:rsidR="00F70449" w:rsidRDefault="00F70449" w:rsidP="0099711E">
      <w:pPr>
        <w:pStyle w:val="FootnoteText"/>
      </w:pPr>
      <w:r>
        <w:rPr>
          <w:rStyle w:val="FootnoteReference"/>
        </w:rPr>
        <w:footnoteRef/>
      </w:r>
      <w:r>
        <w:t xml:space="preserve"> The figures given in this chart are illustrative examples only and should not be taken as a numerically accurate representation of the reactions which transform emissions into secondary PM 2.5. </w:t>
      </w:r>
    </w:p>
  </w:footnote>
  <w:footnote w:id="17">
    <w:p w14:paraId="328D1923" w14:textId="77777777" w:rsidR="00F70449" w:rsidRPr="0043419E" w:rsidRDefault="00F70449" w:rsidP="00064DD8">
      <w:pPr>
        <w:pStyle w:val="FootnoteText"/>
        <w:rPr>
          <w:rStyle w:val="Hyperlink"/>
          <w:sz w:val="16"/>
          <w:szCs w:val="16"/>
          <w:lang w:val="et-EE"/>
        </w:rPr>
      </w:pPr>
      <w:r w:rsidRPr="0043419E">
        <w:rPr>
          <w:rStyle w:val="FootnoteReference"/>
          <w:sz w:val="16"/>
          <w:szCs w:val="16"/>
        </w:rPr>
        <w:footnoteRef/>
      </w:r>
      <w:r w:rsidRPr="0043419E">
        <w:rPr>
          <w:sz w:val="16"/>
          <w:szCs w:val="16"/>
          <w:lang w:val="et-EE"/>
        </w:rPr>
        <w:t xml:space="preserve"> </w:t>
      </w:r>
      <w:r w:rsidRPr="0043419E">
        <w:rPr>
          <w:sz w:val="16"/>
          <w:szCs w:val="16"/>
          <w:lang w:val="et-EE"/>
        </w:rPr>
        <w:fldChar w:fldCharType="begin"/>
      </w:r>
      <w:r w:rsidRPr="0043419E">
        <w:rPr>
          <w:sz w:val="16"/>
          <w:szCs w:val="16"/>
          <w:lang w:val="et-EE"/>
        </w:rPr>
        <w:instrText>HYPERLINK "https://www.stat.ee/sites/default/files/2023-09/D1_8_%20Description%20of%20the%20methodology%20for%20advancing%20ecosystem%20accounts%2C%20methodology%20_101022852_2020-EE-ENVACC_k%C3%BClj.pdf"</w:instrText>
      </w:r>
      <w:r w:rsidRPr="0043419E">
        <w:rPr>
          <w:sz w:val="16"/>
          <w:szCs w:val="16"/>
          <w:lang w:val="et-EE"/>
        </w:rPr>
      </w:r>
      <w:r w:rsidRPr="0043419E">
        <w:rPr>
          <w:sz w:val="16"/>
          <w:szCs w:val="16"/>
          <w:lang w:val="et-EE"/>
        </w:rPr>
        <w:fldChar w:fldCharType="separate"/>
      </w:r>
      <w:r w:rsidRPr="0043419E">
        <w:rPr>
          <w:rStyle w:val="Hyperlink"/>
          <w:sz w:val="16"/>
          <w:szCs w:val="16"/>
          <w:lang w:val="et-EE"/>
        </w:rPr>
        <w:t>Description of the methodology for advancing ecosystem accounts, methodology, Methodological report</w:t>
      </w:r>
    </w:p>
    <w:p w14:paraId="6A0A2A68" w14:textId="77777777" w:rsidR="00F70449" w:rsidRPr="0043419E" w:rsidRDefault="00F70449" w:rsidP="00064DD8">
      <w:pPr>
        <w:pStyle w:val="FootnoteText"/>
        <w:rPr>
          <w:sz w:val="16"/>
          <w:szCs w:val="16"/>
          <w:lang w:val="et-EE"/>
        </w:rPr>
      </w:pPr>
      <w:r w:rsidRPr="0043419E">
        <w:rPr>
          <w:rStyle w:val="Hyperlink"/>
          <w:sz w:val="16"/>
          <w:szCs w:val="16"/>
          <w:lang w:val="et-EE"/>
        </w:rPr>
        <w:t>Statistics Estonia, Grant Agreement no NUMBER — 101022852 — 2020-EE-ENVACC, Development of environmental accounts</w:t>
      </w:r>
      <w:r w:rsidRPr="0043419E">
        <w:rPr>
          <w:sz w:val="16"/>
          <w:szCs w:val="16"/>
          <w:lang w:val="et-EE"/>
        </w:rPr>
        <w:fldChar w:fldCharType="end"/>
      </w:r>
      <w:r w:rsidRPr="0043419E">
        <w:rPr>
          <w:sz w:val="16"/>
          <w:szCs w:val="16"/>
          <w:lang w:val="et-EE"/>
        </w:rPr>
        <w:t>,  page 81, 4.6.1 Net sequestration and storage of carbon – physical account</w:t>
      </w:r>
    </w:p>
  </w:footnote>
  <w:footnote w:id="18">
    <w:p w14:paraId="2309B7B1" w14:textId="77777777" w:rsidR="00F70449" w:rsidRPr="00550DD1" w:rsidRDefault="00F70449" w:rsidP="00064DD8">
      <w:pPr>
        <w:pStyle w:val="FootnoteText"/>
        <w:rPr>
          <w:lang w:val="et-EE"/>
        </w:rPr>
      </w:pPr>
      <w:r w:rsidRPr="0043419E">
        <w:rPr>
          <w:rStyle w:val="FootnoteReference"/>
          <w:sz w:val="16"/>
          <w:szCs w:val="16"/>
        </w:rPr>
        <w:footnoteRef/>
      </w:r>
      <w:r w:rsidRPr="0043419E">
        <w:rPr>
          <w:sz w:val="16"/>
          <w:szCs w:val="16"/>
          <w:lang w:val="et-EE"/>
        </w:rPr>
        <w:t>https://andmed.stat.ee/en/stat/keskkond__loodusvarad-ja-nende-kasutamine__maakasutuse-muutumine/KK090</w:t>
      </w:r>
    </w:p>
  </w:footnote>
  <w:footnote w:id="19">
    <w:p w14:paraId="7D544C20" w14:textId="77777777" w:rsidR="00F70449" w:rsidRPr="00296CBD" w:rsidRDefault="00F70449" w:rsidP="00064DD8">
      <w:pPr>
        <w:pStyle w:val="FootnoteText"/>
        <w:rPr>
          <w:lang w:val="et-EE"/>
        </w:rPr>
      </w:pPr>
      <w:r w:rsidRPr="0043419E">
        <w:rPr>
          <w:rStyle w:val="FootnoteReference"/>
          <w:sz w:val="16"/>
          <w:szCs w:val="16"/>
        </w:rPr>
        <w:footnoteRef/>
      </w:r>
      <w:r w:rsidRPr="0043419E">
        <w:rPr>
          <w:sz w:val="16"/>
          <w:szCs w:val="16"/>
          <w:lang w:val="et-EE"/>
        </w:rPr>
        <w:t xml:space="preserve"> https://unfccc.int/process-and-meetings/transparency-and-reporting/reporting-and-review-under-the-convention/national-inventory-submissions-2022</w:t>
      </w:r>
    </w:p>
  </w:footnote>
  <w:footnote w:id="20">
    <w:p w14:paraId="07C02472" w14:textId="77777777" w:rsidR="002218EC" w:rsidRPr="0043419E" w:rsidRDefault="002218EC" w:rsidP="002218EC">
      <w:pPr>
        <w:pStyle w:val="FootnoteText"/>
        <w:rPr>
          <w:sz w:val="16"/>
          <w:szCs w:val="16"/>
          <w:lang w:val="et-EE"/>
        </w:rPr>
      </w:pPr>
      <w:r w:rsidRPr="0043419E">
        <w:rPr>
          <w:rStyle w:val="FootnoteReference"/>
          <w:sz w:val="16"/>
          <w:szCs w:val="16"/>
        </w:rPr>
        <w:footnoteRef/>
      </w:r>
      <w:r w:rsidRPr="0043419E">
        <w:rPr>
          <w:sz w:val="16"/>
          <w:szCs w:val="16"/>
        </w:rPr>
        <w:t xml:space="preserve"> Definition refers to the proposal for the amendment of EU Regulation (EU) 691/2011</w:t>
      </w:r>
    </w:p>
  </w:footnote>
  <w:footnote w:id="21">
    <w:p w14:paraId="7142E428" w14:textId="77777777" w:rsidR="002218EC" w:rsidRPr="0043419E" w:rsidRDefault="002218EC" w:rsidP="002218EC">
      <w:pPr>
        <w:pStyle w:val="FootnoteText"/>
        <w:rPr>
          <w:sz w:val="16"/>
          <w:szCs w:val="16"/>
          <w:lang w:val="et-EE"/>
        </w:rPr>
      </w:pPr>
      <w:r w:rsidRPr="0043419E">
        <w:rPr>
          <w:rStyle w:val="FootnoteReference"/>
          <w:sz w:val="16"/>
          <w:szCs w:val="16"/>
        </w:rPr>
        <w:footnoteRef/>
      </w:r>
      <w:r w:rsidRPr="00AF7EBF">
        <w:rPr>
          <w:sz w:val="16"/>
          <w:szCs w:val="16"/>
          <w:lang w:val="sv-SE"/>
        </w:rPr>
        <w:t xml:space="preserve"> Eurostat – Unit E2. Doc. Doc. </w:t>
      </w:r>
      <w:r w:rsidRPr="0043419E">
        <w:rPr>
          <w:sz w:val="16"/>
          <w:szCs w:val="16"/>
        </w:rPr>
        <w:t>ENV/EA/TF/2023_1/2. Global climate regulation ecosystem service – guidance note. Version prepared for the Task force on ecosystem accounting after a written consultation by the Environmental accounts working groups (WG EA and MESA) (February 2023). The guidance note for global climate regulation ecosystem service further defines indicators and introduces voluntary indicators that support the understanding of the dynamics of the service for future development of the subject area as well.</w:t>
      </w:r>
    </w:p>
  </w:footnote>
  <w:footnote w:id="22">
    <w:p w14:paraId="25F96F66" w14:textId="77777777" w:rsidR="00F70449" w:rsidRPr="0043419E" w:rsidRDefault="00F70449" w:rsidP="00064DD8">
      <w:pPr>
        <w:pStyle w:val="FootnoteText"/>
        <w:rPr>
          <w:sz w:val="16"/>
          <w:szCs w:val="16"/>
          <w:lang w:val="et-EE"/>
        </w:rPr>
      </w:pPr>
      <w:r w:rsidRPr="0043419E">
        <w:rPr>
          <w:rStyle w:val="FootnoteReference"/>
          <w:sz w:val="16"/>
          <w:szCs w:val="16"/>
        </w:rPr>
        <w:footnoteRef/>
      </w:r>
      <w:hyperlink r:id="rId1" w:history="1">
        <w:r w:rsidRPr="0043419E">
          <w:rPr>
            <w:rStyle w:val="Hyperlink"/>
            <w:sz w:val="16"/>
            <w:szCs w:val="16"/>
            <w:lang w:val="et-EE"/>
          </w:rPr>
          <w:t>https://andmed.stat.ee/en/stat/keskkond__loodusvarad-ja-nende-kasutamine__maakasutuse-muutumine/KK090</w:t>
        </w:r>
      </w:hyperlink>
      <w:r w:rsidRPr="0043419E">
        <w:rPr>
          <w:sz w:val="16"/>
          <w:szCs w:val="16"/>
          <w:lang w:val="et-EE"/>
        </w:rPr>
        <w:t xml:space="preserve"> </w:t>
      </w:r>
    </w:p>
  </w:footnote>
  <w:footnote w:id="23">
    <w:p w14:paraId="6D3354A0" w14:textId="77777777" w:rsidR="00F70449" w:rsidRPr="0043419E" w:rsidRDefault="00F70449" w:rsidP="00064DD8">
      <w:pPr>
        <w:pStyle w:val="FootnoteText"/>
        <w:rPr>
          <w:rStyle w:val="Hyperlink"/>
          <w:sz w:val="16"/>
          <w:szCs w:val="16"/>
          <w:lang w:val="et-EE"/>
        </w:rPr>
      </w:pPr>
      <w:r w:rsidRPr="0043419E">
        <w:rPr>
          <w:rStyle w:val="FootnoteReference"/>
          <w:sz w:val="16"/>
          <w:szCs w:val="16"/>
        </w:rPr>
        <w:footnoteRef/>
      </w:r>
      <w:r w:rsidRPr="0043419E">
        <w:rPr>
          <w:sz w:val="16"/>
          <w:szCs w:val="16"/>
        </w:rPr>
        <w:t xml:space="preserve"> </w:t>
      </w:r>
      <w:r w:rsidRPr="0043419E">
        <w:rPr>
          <w:sz w:val="16"/>
          <w:szCs w:val="16"/>
          <w:lang w:val="et-EE"/>
        </w:rPr>
        <w:fldChar w:fldCharType="begin"/>
      </w:r>
      <w:r w:rsidRPr="0043419E">
        <w:rPr>
          <w:sz w:val="16"/>
          <w:szCs w:val="16"/>
          <w:lang w:val="et-EE"/>
        </w:rPr>
        <w:instrText>HYPERLINK "https://www.stat.ee/sites/default/files/2023-09/D1_8_%20Description%20of%20the%20methodology%20for%20advancing%20ecosystem%20accounts%2C%20methodology%20_101022852_2020-EE-ENVACC_k%C3%BClj.pdf"</w:instrText>
      </w:r>
      <w:r w:rsidRPr="0043419E">
        <w:rPr>
          <w:sz w:val="16"/>
          <w:szCs w:val="16"/>
          <w:lang w:val="et-EE"/>
        </w:rPr>
      </w:r>
      <w:r w:rsidRPr="0043419E">
        <w:rPr>
          <w:sz w:val="16"/>
          <w:szCs w:val="16"/>
          <w:lang w:val="et-EE"/>
        </w:rPr>
        <w:fldChar w:fldCharType="separate"/>
      </w:r>
      <w:r w:rsidRPr="0043419E">
        <w:rPr>
          <w:rStyle w:val="Hyperlink"/>
          <w:sz w:val="16"/>
          <w:szCs w:val="16"/>
          <w:lang w:val="et-EE"/>
        </w:rPr>
        <w:t>Description of the methodology for advancing ecosystem accounts, methodology, Methodological report</w:t>
      </w:r>
    </w:p>
    <w:p w14:paraId="65425D48" w14:textId="77777777" w:rsidR="00F70449" w:rsidRPr="0043419E" w:rsidRDefault="00F70449" w:rsidP="00064DD8">
      <w:pPr>
        <w:pStyle w:val="FootnoteText"/>
        <w:rPr>
          <w:sz w:val="16"/>
          <w:szCs w:val="16"/>
        </w:rPr>
      </w:pPr>
      <w:r w:rsidRPr="0043419E">
        <w:rPr>
          <w:rStyle w:val="Hyperlink"/>
          <w:sz w:val="16"/>
          <w:szCs w:val="16"/>
          <w:lang w:val="et-EE"/>
        </w:rPr>
        <w:t>Statistics Estonia, Grant Agreement no NUMBER — 101022852 — 2020-EE-ENVACC, Development of environmental accounts</w:t>
      </w:r>
      <w:r w:rsidRPr="0043419E">
        <w:rPr>
          <w:sz w:val="16"/>
          <w:szCs w:val="16"/>
          <w:lang w:val="et-EE"/>
        </w:rPr>
        <w:fldChar w:fldCharType="end"/>
      </w:r>
      <w:r w:rsidRPr="0043419E">
        <w:rPr>
          <w:sz w:val="16"/>
          <w:szCs w:val="16"/>
          <w:lang w:val="et-EE"/>
        </w:rPr>
        <w:t>, page 12.</w:t>
      </w:r>
    </w:p>
  </w:footnote>
  <w:footnote w:id="24">
    <w:p w14:paraId="3E01875F" w14:textId="77777777" w:rsidR="00F70449" w:rsidRPr="0043419E" w:rsidRDefault="00F70449" w:rsidP="00064DD8">
      <w:pPr>
        <w:pStyle w:val="FootnoteText"/>
        <w:rPr>
          <w:sz w:val="16"/>
          <w:szCs w:val="16"/>
          <w:lang w:val="et-EE"/>
        </w:rPr>
      </w:pPr>
      <w:r w:rsidRPr="0043419E">
        <w:rPr>
          <w:rStyle w:val="FootnoteReference"/>
          <w:sz w:val="16"/>
          <w:szCs w:val="16"/>
        </w:rPr>
        <w:footnoteRef/>
      </w:r>
      <w:r w:rsidRPr="0043419E">
        <w:rPr>
          <w:sz w:val="16"/>
          <w:szCs w:val="16"/>
        </w:rPr>
        <w:t xml:space="preserve"> According to the definition of the proposal for the amendment of Regulation (EU) 691/2011, the ecosystem service wood provision is defined as the ecosystem contribution to the growth of trees and other woody biomass, shall be reported as net increment as defined in Annex VII,  in over-bark, in thousand m3. Annex VII references to the forest accounts in the same proposal for the amendment of Regulation (EU) 691/2011 where it defines given net increment.</w:t>
      </w:r>
    </w:p>
  </w:footnote>
  <w:footnote w:id="25">
    <w:p w14:paraId="5BB316C9" w14:textId="5CE7A0E5" w:rsidR="00F70449" w:rsidRPr="00676850" w:rsidRDefault="00F70449" w:rsidP="00064DD8">
      <w:pPr>
        <w:pStyle w:val="FootnoteText"/>
        <w:rPr>
          <w:lang w:val="et-EE"/>
        </w:rPr>
      </w:pPr>
      <w:r w:rsidRPr="0043419E">
        <w:rPr>
          <w:rStyle w:val="FootnoteReference"/>
          <w:sz w:val="16"/>
          <w:szCs w:val="16"/>
        </w:rPr>
        <w:footnoteRef/>
      </w:r>
      <w:r w:rsidRPr="0043419E">
        <w:rPr>
          <w:sz w:val="16"/>
          <w:szCs w:val="16"/>
        </w:rPr>
        <w:t xml:space="preserve"> </w:t>
      </w:r>
      <w:r w:rsidR="009C2435">
        <w:rPr>
          <w:sz w:val="16"/>
          <w:szCs w:val="16"/>
        </w:rPr>
        <w:t>A</w:t>
      </w:r>
      <w:r w:rsidRPr="0043419E">
        <w:rPr>
          <w:sz w:val="16"/>
          <w:szCs w:val="16"/>
        </w:rPr>
        <w:t>ccording to the formulas given in Annex 12 "Calculation of the increment of growing stock " in the Regulation of the Minister of the Environment "Forest Survey Guidelines" (RT I, 31.08.2018,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6632AA"/>
    <w:lvl w:ilvl="0">
      <w:start w:val="1"/>
      <w:numFmt w:val="decimal"/>
      <w:pStyle w:val="ListNumber"/>
      <w:lvlText w:val="%1."/>
      <w:lvlJc w:val="left"/>
      <w:pPr>
        <w:tabs>
          <w:tab w:val="num" w:pos="360"/>
        </w:tabs>
        <w:ind w:left="360" w:hanging="360"/>
      </w:pPr>
    </w:lvl>
  </w:abstractNum>
  <w:abstractNum w:abstractNumId="1" w15:restartNumberingAfterBreak="0">
    <w:nsid w:val="01570B8B"/>
    <w:multiLevelType w:val="hybridMultilevel"/>
    <w:tmpl w:val="F7B8002A"/>
    <w:lvl w:ilvl="0" w:tplc="8D522D62">
      <w:start w:val="1"/>
      <w:numFmt w:val="decimal"/>
      <w:pStyle w:val="Footnot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7474B5"/>
    <w:multiLevelType w:val="hybridMultilevel"/>
    <w:tmpl w:val="22601BCE"/>
    <w:lvl w:ilvl="0" w:tplc="A8402D8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F3AB3"/>
    <w:multiLevelType w:val="hybridMultilevel"/>
    <w:tmpl w:val="2D06CE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5C49DD"/>
    <w:multiLevelType w:val="hybridMultilevel"/>
    <w:tmpl w:val="24D2025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DE4AC2"/>
    <w:multiLevelType w:val="hybridMultilevel"/>
    <w:tmpl w:val="60C6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D58B1"/>
    <w:multiLevelType w:val="hybridMultilevel"/>
    <w:tmpl w:val="11041E7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744EDF"/>
    <w:multiLevelType w:val="hybridMultilevel"/>
    <w:tmpl w:val="2A8C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14DFE"/>
    <w:multiLevelType w:val="hybridMultilevel"/>
    <w:tmpl w:val="A5E6F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381B38"/>
    <w:multiLevelType w:val="hybridMultilevel"/>
    <w:tmpl w:val="D6BC77B4"/>
    <w:lvl w:ilvl="0" w:tplc="06FA0E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F66EF"/>
    <w:multiLevelType w:val="multilevel"/>
    <w:tmpl w:val="38CC4DA4"/>
    <w:styleLink w:val="Headings"/>
    <w:lvl w:ilvl="0">
      <w:start w:val="1"/>
      <w:numFmt w:val="decimal"/>
      <w:lvlText w:val="%1."/>
      <w:lvlJc w:val="left"/>
      <w:pPr>
        <w:ind w:left="72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720" w:hanging="36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720" w:hanging="360"/>
      </w:pPr>
      <w:rPr>
        <w:rFonts w:hint="default"/>
      </w:rPr>
    </w:lvl>
    <w:lvl w:ilvl="5">
      <w:start w:val="1"/>
      <w:numFmt w:val="lowerRoman"/>
      <w:lvlText w:val="%6."/>
      <w:lvlJc w:val="right"/>
      <w:pPr>
        <w:ind w:left="72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720" w:hanging="360"/>
      </w:pPr>
      <w:rPr>
        <w:rFonts w:hint="default"/>
      </w:rPr>
    </w:lvl>
    <w:lvl w:ilvl="8">
      <w:start w:val="1"/>
      <w:numFmt w:val="lowerRoman"/>
      <w:lvlText w:val="%9."/>
      <w:lvlJc w:val="right"/>
      <w:pPr>
        <w:ind w:left="720" w:hanging="360"/>
      </w:pPr>
      <w:rPr>
        <w:rFonts w:hint="default"/>
      </w:rPr>
    </w:lvl>
  </w:abstractNum>
  <w:abstractNum w:abstractNumId="11" w15:restartNumberingAfterBreak="0">
    <w:nsid w:val="44537202"/>
    <w:multiLevelType w:val="hybridMultilevel"/>
    <w:tmpl w:val="2060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61D91"/>
    <w:multiLevelType w:val="hybridMultilevel"/>
    <w:tmpl w:val="0E6460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0561F0"/>
    <w:multiLevelType w:val="hybridMultilevel"/>
    <w:tmpl w:val="07743C24"/>
    <w:lvl w:ilvl="0" w:tplc="B0285F58">
      <w:numFmt w:val="bullet"/>
      <w:lvlText w:val="-"/>
      <w:lvlJc w:val="left"/>
      <w:pPr>
        <w:ind w:left="720" w:hanging="360"/>
      </w:pPr>
      <w:rPr>
        <w:rFonts w:ascii="PT Serif" w:eastAsiaTheme="minorEastAsia" w:hAnsi="PT Serif"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5D87E9B"/>
    <w:multiLevelType w:val="hybridMultilevel"/>
    <w:tmpl w:val="9306B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9008D"/>
    <w:multiLevelType w:val="hybridMultilevel"/>
    <w:tmpl w:val="2772BC72"/>
    <w:lvl w:ilvl="0" w:tplc="E124BDA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12AAC"/>
    <w:multiLevelType w:val="hybridMultilevel"/>
    <w:tmpl w:val="5B5C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27798"/>
    <w:multiLevelType w:val="hybridMultilevel"/>
    <w:tmpl w:val="A1E2E68E"/>
    <w:lvl w:ilvl="0" w:tplc="C766336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3569C"/>
    <w:multiLevelType w:val="hybridMultilevel"/>
    <w:tmpl w:val="56601B90"/>
    <w:lvl w:ilvl="0" w:tplc="FFE46572">
      <w:start w:val="1"/>
      <w:numFmt w:val="lowerRoman"/>
      <w:pStyle w:val="Heading4"/>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385295">
    <w:abstractNumId w:val="1"/>
  </w:num>
  <w:num w:numId="2" w16cid:durableId="2110347419">
    <w:abstractNumId w:val="2"/>
  </w:num>
  <w:num w:numId="3" w16cid:durableId="1287810228">
    <w:abstractNumId w:val="18"/>
  </w:num>
  <w:num w:numId="4" w16cid:durableId="1159884620">
    <w:abstractNumId w:val="10"/>
  </w:num>
  <w:num w:numId="5" w16cid:durableId="248539962">
    <w:abstractNumId w:val="15"/>
  </w:num>
  <w:num w:numId="6" w16cid:durableId="903108346">
    <w:abstractNumId w:val="17"/>
  </w:num>
  <w:num w:numId="7" w16cid:durableId="564920935">
    <w:abstractNumId w:val="5"/>
  </w:num>
  <w:num w:numId="8" w16cid:durableId="1364091567">
    <w:abstractNumId w:val="14"/>
  </w:num>
  <w:num w:numId="9" w16cid:durableId="252475349">
    <w:abstractNumId w:val="4"/>
  </w:num>
  <w:num w:numId="10" w16cid:durableId="1725907017">
    <w:abstractNumId w:val="2"/>
    <w:lvlOverride w:ilvl="0">
      <w:startOverride w:val="1"/>
    </w:lvlOverride>
  </w:num>
  <w:num w:numId="11" w16cid:durableId="19674287">
    <w:abstractNumId w:val="2"/>
    <w:lvlOverride w:ilvl="0">
      <w:startOverride w:val="1"/>
    </w:lvlOverride>
  </w:num>
  <w:num w:numId="12" w16cid:durableId="1145583341">
    <w:abstractNumId w:val="2"/>
  </w:num>
  <w:num w:numId="13" w16cid:durableId="852039960">
    <w:abstractNumId w:val="2"/>
    <w:lvlOverride w:ilvl="0">
      <w:startOverride w:val="1"/>
    </w:lvlOverride>
  </w:num>
  <w:num w:numId="14" w16cid:durableId="665941283">
    <w:abstractNumId w:val="2"/>
    <w:lvlOverride w:ilvl="0">
      <w:startOverride w:val="1"/>
    </w:lvlOverride>
  </w:num>
  <w:num w:numId="15" w16cid:durableId="1564488811">
    <w:abstractNumId w:val="2"/>
  </w:num>
  <w:num w:numId="16" w16cid:durableId="1039207763">
    <w:abstractNumId w:val="2"/>
  </w:num>
  <w:num w:numId="17" w16cid:durableId="1886600805">
    <w:abstractNumId w:val="8"/>
  </w:num>
  <w:num w:numId="18" w16cid:durableId="2008485027">
    <w:abstractNumId w:val="0"/>
  </w:num>
  <w:num w:numId="19" w16cid:durableId="1537039155">
    <w:abstractNumId w:val="13"/>
  </w:num>
  <w:num w:numId="20" w16cid:durableId="230625459">
    <w:abstractNumId w:val="6"/>
  </w:num>
  <w:num w:numId="21" w16cid:durableId="277415671">
    <w:abstractNumId w:val="11"/>
  </w:num>
  <w:num w:numId="22" w16cid:durableId="1857037161">
    <w:abstractNumId w:val="16"/>
  </w:num>
  <w:num w:numId="23" w16cid:durableId="1048919035">
    <w:abstractNumId w:val="12"/>
  </w:num>
  <w:num w:numId="24" w16cid:durableId="1046174188">
    <w:abstractNumId w:val="3"/>
  </w:num>
  <w:num w:numId="25" w16cid:durableId="360324022">
    <w:abstractNumId w:val="9"/>
  </w:num>
  <w:num w:numId="26" w16cid:durableId="975111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9C"/>
    <w:rsid w:val="00006C2C"/>
    <w:rsid w:val="00006C73"/>
    <w:rsid w:val="000139AC"/>
    <w:rsid w:val="00023B65"/>
    <w:rsid w:val="00026429"/>
    <w:rsid w:val="000346A1"/>
    <w:rsid w:val="000359C0"/>
    <w:rsid w:val="000425FE"/>
    <w:rsid w:val="00052A36"/>
    <w:rsid w:val="00056F5B"/>
    <w:rsid w:val="00064DD8"/>
    <w:rsid w:val="00072AB9"/>
    <w:rsid w:val="00082AC5"/>
    <w:rsid w:val="00085F3A"/>
    <w:rsid w:val="00087470"/>
    <w:rsid w:val="00095E89"/>
    <w:rsid w:val="000A0D7F"/>
    <w:rsid w:val="000A36F4"/>
    <w:rsid w:val="000B5723"/>
    <w:rsid w:val="000B6F4F"/>
    <w:rsid w:val="000C0DE9"/>
    <w:rsid w:val="000C1FE9"/>
    <w:rsid w:val="000D0848"/>
    <w:rsid w:val="000D22D4"/>
    <w:rsid w:val="000D32AA"/>
    <w:rsid w:val="000D68B2"/>
    <w:rsid w:val="000D762A"/>
    <w:rsid w:val="000E5599"/>
    <w:rsid w:val="0010417F"/>
    <w:rsid w:val="00106B12"/>
    <w:rsid w:val="00115BC7"/>
    <w:rsid w:val="00126F4C"/>
    <w:rsid w:val="00127208"/>
    <w:rsid w:val="00137706"/>
    <w:rsid w:val="00156DE1"/>
    <w:rsid w:val="00160570"/>
    <w:rsid w:val="0016425A"/>
    <w:rsid w:val="001744DD"/>
    <w:rsid w:val="00193D9A"/>
    <w:rsid w:val="0019615D"/>
    <w:rsid w:val="001A01E0"/>
    <w:rsid w:val="001C3910"/>
    <w:rsid w:val="001D18AC"/>
    <w:rsid w:val="001D2B13"/>
    <w:rsid w:val="001D5503"/>
    <w:rsid w:val="001E4AEB"/>
    <w:rsid w:val="001F051B"/>
    <w:rsid w:val="001F1D44"/>
    <w:rsid w:val="001F3DFA"/>
    <w:rsid w:val="00203546"/>
    <w:rsid w:val="002218EC"/>
    <w:rsid w:val="00242013"/>
    <w:rsid w:val="002450D7"/>
    <w:rsid w:val="002464A7"/>
    <w:rsid w:val="0025083E"/>
    <w:rsid w:val="002509AD"/>
    <w:rsid w:val="0025146C"/>
    <w:rsid w:val="002973C7"/>
    <w:rsid w:val="002A75C0"/>
    <w:rsid w:val="002B7F39"/>
    <w:rsid w:val="002C3E5B"/>
    <w:rsid w:val="002C727B"/>
    <w:rsid w:val="002D04F6"/>
    <w:rsid w:val="002D5646"/>
    <w:rsid w:val="002E1F8C"/>
    <w:rsid w:val="002E7AAC"/>
    <w:rsid w:val="0030254C"/>
    <w:rsid w:val="003052DA"/>
    <w:rsid w:val="00314FFB"/>
    <w:rsid w:val="003217EA"/>
    <w:rsid w:val="003231B8"/>
    <w:rsid w:val="003419E7"/>
    <w:rsid w:val="00342367"/>
    <w:rsid w:val="00343CEE"/>
    <w:rsid w:val="003454E9"/>
    <w:rsid w:val="00347962"/>
    <w:rsid w:val="00352D98"/>
    <w:rsid w:val="00353454"/>
    <w:rsid w:val="00355715"/>
    <w:rsid w:val="0035695B"/>
    <w:rsid w:val="003608F9"/>
    <w:rsid w:val="0036689D"/>
    <w:rsid w:val="003670A1"/>
    <w:rsid w:val="00367B99"/>
    <w:rsid w:val="00373F07"/>
    <w:rsid w:val="003746E0"/>
    <w:rsid w:val="003768BB"/>
    <w:rsid w:val="003770E1"/>
    <w:rsid w:val="0038175B"/>
    <w:rsid w:val="00390279"/>
    <w:rsid w:val="003909A6"/>
    <w:rsid w:val="003A1D9C"/>
    <w:rsid w:val="003B2B51"/>
    <w:rsid w:val="003B71A6"/>
    <w:rsid w:val="003C0CE9"/>
    <w:rsid w:val="003C17A4"/>
    <w:rsid w:val="003C1B7A"/>
    <w:rsid w:val="003D3FED"/>
    <w:rsid w:val="003F09AD"/>
    <w:rsid w:val="00403C71"/>
    <w:rsid w:val="0041129C"/>
    <w:rsid w:val="0041723E"/>
    <w:rsid w:val="0042596B"/>
    <w:rsid w:val="00453766"/>
    <w:rsid w:val="00457C36"/>
    <w:rsid w:val="00461B32"/>
    <w:rsid w:val="004808AB"/>
    <w:rsid w:val="00482E71"/>
    <w:rsid w:val="004907F9"/>
    <w:rsid w:val="004A03AD"/>
    <w:rsid w:val="004A6F13"/>
    <w:rsid w:val="004B7B80"/>
    <w:rsid w:val="004D39BB"/>
    <w:rsid w:val="004D6369"/>
    <w:rsid w:val="004F3375"/>
    <w:rsid w:val="004F4ACE"/>
    <w:rsid w:val="00503515"/>
    <w:rsid w:val="00512A6D"/>
    <w:rsid w:val="00526810"/>
    <w:rsid w:val="005279DA"/>
    <w:rsid w:val="00530AB4"/>
    <w:rsid w:val="00541700"/>
    <w:rsid w:val="00567431"/>
    <w:rsid w:val="00570356"/>
    <w:rsid w:val="0057569A"/>
    <w:rsid w:val="00580AE0"/>
    <w:rsid w:val="005878C8"/>
    <w:rsid w:val="00590BAA"/>
    <w:rsid w:val="005C43F7"/>
    <w:rsid w:val="005C4955"/>
    <w:rsid w:val="005D1E92"/>
    <w:rsid w:val="005D4F49"/>
    <w:rsid w:val="005D7A6D"/>
    <w:rsid w:val="005E5917"/>
    <w:rsid w:val="005F12EB"/>
    <w:rsid w:val="00604EB6"/>
    <w:rsid w:val="00624C39"/>
    <w:rsid w:val="00624E49"/>
    <w:rsid w:val="00627830"/>
    <w:rsid w:val="00631E23"/>
    <w:rsid w:val="00641B94"/>
    <w:rsid w:val="00646D61"/>
    <w:rsid w:val="006529F8"/>
    <w:rsid w:val="006544EB"/>
    <w:rsid w:val="00657E7D"/>
    <w:rsid w:val="00670A83"/>
    <w:rsid w:val="0067237C"/>
    <w:rsid w:val="006741F9"/>
    <w:rsid w:val="006770A2"/>
    <w:rsid w:val="00680515"/>
    <w:rsid w:val="0068444F"/>
    <w:rsid w:val="00693D8E"/>
    <w:rsid w:val="006A1C07"/>
    <w:rsid w:val="006B35DA"/>
    <w:rsid w:val="006B7CE7"/>
    <w:rsid w:val="006C62B5"/>
    <w:rsid w:val="006D6BB0"/>
    <w:rsid w:val="006E7E4D"/>
    <w:rsid w:val="006F2338"/>
    <w:rsid w:val="006F57C1"/>
    <w:rsid w:val="0070686F"/>
    <w:rsid w:val="00710DA6"/>
    <w:rsid w:val="00724498"/>
    <w:rsid w:val="00725347"/>
    <w:rsid w:val="007320B1"/>
    <w:rsid w:val="00746057"/>
    <w:rsid w:val="007520D3"/>
    <w:rsid w:val="00762CAB"/>
    <w:rsid w:val="00770FA6"/>
    <w:rsid w:val="00773A4A"/>
    <w:rsid w:val="00776485"/>
    <w:rsid w:val="00792D9B"/>
    <w:rsid w:val="00796976"/>
    <w:rsid w:val="007B5841"/>
    <w:rsid w:val="007B77A9"/>
    <w:rsid w:val="007E1689"/>
    <w:rsid w:val="007E2B93"/>
    <w:rsid w:val="007F0413"/>
    <w:rsid w:val="007F3986"/>
    <w:rsid w:val="00802502"/>
    <w:rsid w:val="008066E9"/>
    <w:rsid w:val="008123A9"/>
    <w:rsid w:val="0082008F"/>
    <w:rsid w:val="008277A2"/>
    <w:rsid w:val="00833834"/>
    <w:rsid w:val="00833C13"/>
    <w:rsid w:val="00855C17"/>
    <w:rsid w:val="008607EF"/>
    <w:rsid w:val="0086775A"/>
    <w:rsid w:val="0086786C"/>
    <w:rsid w:val="00872265"/>
    <w:rsid w:val="00872AA2"/>
    <w:rsid w:val="00881483"/>
    <w:rsid w:val="00886D41"/>
    <w:rsid w:val="008910E8"/>
    <w:rsid w:val="008A22FE"/>
    <w:rsid w:val="008A46EF"/>
    <w:rsid w:val="008B359A"/>
    <w:rsid w:val="008B4975"/>
    <w:rsid w:val="008C48D2"/>
    <w:rsid w:val="008E2BF6"/>
    <w:rsid w:val="008E40D8"/>
    <w:rsid w:val="008F0D84"/>
    <w:rsid w:val="00901B01"/>
    <w:rsid w:val="00907490"/>
    <w:rsid w:val="00910196"/>
    <w:rsid w:val="009144F0"/>
    <w:rsid w:val="00915AFA"/>
    <w:rsid w:val="009166ED"/>
    <w:rsid w:val="009175EF"/>
    <w:rsid w:val="009343C9"/>
    <w:rsid w:val="009354D5"/>
    <w:rsid w:val="0095201C"/>
    <w:rsid w:val="0095500A"/>
    <w:rsid w:val="00961003"/>
    <w:rsid w:val="00963D62"/>
    <w:rsid w:val="00975F1B"/>
    <w:rsid w:val="009877B5"/>
    <w:rsid w:val="00990D3E"/>
    <w:rsid w:val="00991D6E"/>
    <w:rsid w:val="0099711E"/>
    <w:rsid w:val="00997210"/>
    <w:rsid w:val="009A020A"/>
    <w:rsid w:val="009A2DBE"/>
    <w:rsid w:val="009B6476"/>
    <w:rsid w:val="009C1E92"/>
    <w:rsid w:val="009C2435"/>
    <w:rsid w:val="009C7B8D"/>
    <w:rsid w:val="009D5378"/>
    <w:rsid w:val="009D76B5"/>
    <w:rsid w:val="009E08A7"/>
    <w:rsid w:val="009E47D2"/>
    <w:rsid w:val="009E4D56"/>
    <w:rsid w:val="009E527A"/>
    <w:rsid w:val="009E565D"/>
    <w:rsid w:val="009E7E38"/>
    <w:rsid w:val="009F4E84"/>
    <w:rsid w:val="009F6BF9"/>
    <w:rsid w:val="00A00731"/>
    <w:rsid w:val="00A0098D"/>
    <w:rsid w:val="00A121CE"/>
    <w:rsid w:val="00A1260D"/>
    <w:rsid w:val="00A17679"/>
    <w:rsid w:val="00A25872"/>
    <w:rsid w:val="00A26B3A"/>
    <w:rsid w:val="00A55F43"/>
    <w:rsid w:val="00A6129C"/>
    <w:rsid w:val="00A672A3"/>
    <w:rsid w:val="00A866D6"/>
    <w:rsid w:val="00A912E4"/>
    <w:rsid w:val="00AA6C23"/>
    <w:rsid w:val="00AB61FB"/>
    <w:rsid w:val="00AD103B"/>
    <w:rsid w:val="00AD2C87"/>
    <w:rsid w:val="00AD4193"/>
    <w:rsid w:val="00AE0C63"/>
    <w:rsid w:val="00AE1A55"/>
    <w:rsid w:val="00AF4CD5"/>
    <w:rsid w:val="00AF646D"/>
    <w:rsid w:val="00B03558"/>
    <w:rsid w:val="00B10920"/>
    <w:rsid w:val="00B11C0A"/>
    <w:rsid w:val="00B136D7"/>
    <w:rsid w:val="00B16F5D"/>
    <w:rsid w:val="00B235B9"/>
    <w:rsid w:val="00B36DA0"/>
    <w:rsid w:val="00B43E15"/>
    <w:rsid w:val="00B45AEB"/>
    <w:rsid w:val="00B50C35"/>
    <w:rsid w:val="00B5415F"/>
    <w:rsid w:val="00B55771"/>
    <w:rsid w:val="00B56365"/>
    <w:rsid w:val="00B60579"/>
    <w:rsid w:val="00B76B85"/>
    <w:rsid w:val="00B76EA7"/>
    <w:rsid w:val="00B80978"/>
    <w:rsid w:val="00B80CFD"/>
    <w:rsid w:val="00B81B80"/>
    <w:rsid w:val="00B86F62"/>
    <w:rsid w:val="00BA20CC"/>
    <w:rsid w:val="00BA4ECD"/>
    <w:rsid w:val="00BB04E0"/>
    <w:rsid w:val="00BD29F4"/>
    <w:rsid w:val="00BD3DF4"/>
    <w:rsid w:val="00BF06A4"/>
    <w:rsid w:val="00BF4B9B"/>
    <w:rsid w:val="00C05296"/>
    <w:rsid w:val="00C067FF"/>
    <w:rsid w:val="00C14238"/>
    <w:rsid w:val="00C16F70"/>
    <w:rsid w:val="00C25DA4"/>
    <w:rsid w:val="00C2624D"/>
    <w:rsid w:val="00C35150"/>
    <w:rsid w:val="00C4259F"/>
    <w:rsid w:val="00C47F2A"/>
    <w:rsid w:val="00C6188F"/>
    <w:rsid w:val="00C829C0"/>
    <w:rsid w:val="00C904B4"/>
    <w:rsid w:val="00C949BD"/>
    <w:rsid w:val="00C96663"/>
    <w:rsid w:val="00CC008B"/>
    <w:rsid w:val="00CC2619"/>
    <w:rsid w:val="00CC56A2"/>
    <w:rsid w:val="00CC5A19"/>
    <w:rsid w:val="00CD09A6"/>
    <w:rsid w:val="00CD5E1D"/>
    <w:rsid w:val="00CE19AA"/>
    <w:rsid w:val="00CE4543"/>
    <w:rsid w:val="00CF0D5B"/>
    <w:rsid w:val="00CF7D91"/>
    <w:rsid w:val="00D12EBA"/>
    <w:rsid w:val="00D339B9"/>
    <w:rsid w:val="00D35E33"/>
    <w:rsid w:val="00D41BDF"/>
    <w:rsid w:val="00D42D48"/>
    <w:rsid w:val="00D50B4A"/>
    <w:rsid w:val="00D75293"/>
    <w:rsid w:val="00D81CB5"/>
    <w:rsid w:val="00D86EA6"/>
    <w:rsid w:val="00D90803"/>
    <w:rsid w:val="00D92CD9"/>
    <w:rsid w:val="00D95655"/>
    <w:rsid w:val="00DB325A"/>
    <w:rsid w:val="00DB61AD"/>
    <w:rsid w:val="00DE6DCE"/>
    <w:rsid w:val="00DF3988"/>
    <w:rsid w:val="00DF6309"/>
    <w:rsid w:val="00DF696F"/>
    <w:rsid w:val="00E015E9"/>
    <w:rsid w:val="00E04823"/>
    <w:rsid w:val="00E15B74"/>
    <w:rsid w:val="00E45829"/>
    <w:rsid w:val="00E51231"/>
    <w:rsid w:val="00E5280F"/>
    <w:rsid w:val="00E702BA"/>
    <w:rsid w:val="00E77C76"/>
    <w:rsid w:val="00E90265"/>
    <w:rsid w:val="00E941DB"/>
    <w:rsid w:val="00EA3F9B"/>
    <w:rsid w:val="00EA40AF"/>
    <w:rsid w:val="00EC2D59"/>
    <w:rsid w:val="00EC5EBA"/>
    <w:rsid w:val="00ED69EE"/>
    <w:rsid w:val="00EE0753"/>
    <w:rsid w:val="00EF18AB"/>
    <w:rsid w:val="00EF23FD"/>
    <w:rsid w:val="00F1445A"/>
    <w:rsid w:val="00F15BE0"/>
    <w:rsid w:val="00F30DC1"/>
    <w:rsid w:val="00F316E4"/>
    <w:rsid w:val="00F42E1A"/>
    <w:rsid w:val="00F5306F"/>
    <w:rsid w:val="00F56B70"/>
    <w:rsid w:val="00F62326"/>
    <w:rsid w:val="00F63EE1"/>
    <w:rsid w:val="00F67374"/>
    <w:rsid w:val="00F70449"/>
    <w:rsid w:val="00F8037D"/>
    <w:rsid w:val="00F80A52"/>
    <w:rsid w:val="00F83120"/>
    <w:rsid w:val="00F83858"/>
    <w:rsid w:val="00F904DE"/>
    <w:rsid w:val="00F95B44"/>
    <w:rsid w:val="00FC118F"/>
    <w:rsid w:val="00FC1FDD"/>
    <w:rsid w:val="00FD0588"/>
    <w:rsid w:val="00FD12FF"/>
    <w:rsid w:val="00FD46AE"/>
    <w:rsid w:val="00FF3645"/>
    <w:rsid w:val="00FF4152"/>
    <w:rsid w:val="00FF58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9A2770B"/>
  <w15:chartTrackingRefBased/>
  <w15:docId w15:val="{EA963E6E-9E3D-4526-A0E5-3662F7E7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9C"/>
    <w:pPr>
      <w:spacing w:after="0" w:line="360" w:lineRule="exact"/>
      <w:jc w:val="both"/>
    </w:pPr>
    <w:rPr>
      <w:rFonts w:ascii="Sylfaen" w:hAnsi="Sylfaen"/>
      <w:szCs w:val="24"/>
    </w:rPr>
  </w:style>
  <w:style w:type="paragraph" w:styleId="Heading1">
    <w:name w:val="heading 1"/>
    <w:next w:val="Normal"/>
    <w:link w:val="Heading1Char"/>
    <w:uiPriority w:val="9"/>
    <w:qFormat/>
    <w:rsid w:val="001E4AEB"/>
    <w:pPr>
      <w:spacing w:before="240" w:after="240" w:line="360" w:lineRule="exact"/>
      <w:jc w:val="center"/>
      <w:outlineLvl w:val="0"/>
    </w:pPr>
    <w:rPr>
      <w:rFonts w:ascii="Gotham Bold" w:hAnsi="Gotham Bold" w:cs="MinionPro-Regular"/>
      <w:bCs/>
      <w:color w:val="4472C4" w:themeColor="accent1"/>
      <w:sz w:val="36"/>
      <w:szCs w:val="36"/>
    </w:rPr>
  </w:style>
  <w:style w:type="paragraph" w:styleId="Heading2">
    <w:name w:val="heading 2"/>
    <w:basedOn w:val="Normal"/>
    <w:next w:val="Normal"/>
    <w:link w:val="Heading2Char"/>
    <w:uiPriority w:val="9"/>
    <w:unhideWhenUsed/>
    <w:qFormat/>
    <w:rsid w:val="001E4AEB"/>
    <w:pPr>
      <w:keepNext/>
      <w:keepLines/>
      <w:numPr>
        <w:numId w:val="6"/>
      </w:numPr>
      <w:spacing w:before="480" w:after="240"/>
      <w:outlineLvl w:val="1"/>
    </w:pPr>
    <w:rPr>
      <w:rFonts w:eastAsiaTheme="majorEastAsia" w:cstheme="minorHAnsi"/>
      <w:b/>
      <w:sz w:val="32"/>
      <w:szCs w:val="32"/>
    </w:rPr>
  </w:style>
  <w:style w:type="paragraph" w:styleId="Heading3">
    <w:name w:val="heading 3"/>
    <w:basedOn w:val="Normal"/>
    <w:next w:val="Normal"/>
    <w:link w:val="Heading3Char"/>
    <w:uiPriority w:val="9"/>
    <w:unhideWhenUsed/>
    <w:qFormat/>
    <w:rsid w:val="001E4AEB"/>
    <w:pPr>
      <w:numPr>
        <w:numId w:val="2"/>
      </w:numPr>
      <w:spacing w:before="240" w:after="240"/>
      <w:outlineLvl w:val="2"/>
    </w:pPr>
    <w:rPr>
      <w:b/>
      <w:bCs/>
      <w:sz w:val="24"/>
    </w:rPr>
  </w:style>
  <w:style w:type="paragraph" w:styleId="Heading4">
    <w:name w:val="heading 4"/>
    <w:basedOn w:val="Normal"/>
    <w:next w:val="Normal"/>
    <w:link w:val="Heading4Char"/>
    <w:uiPriority w:val="9"/>
    <w:unhideWhenUsed/>
    <w:qFormat/>
    <w:rsid w:val="001E4AEB"/>
    <w:pPr>
      <w:numPr>
        <w:numId w:val="3"/>
      </w:numPr>
      <w:spacing w:before="240" w:after="120"/>
      <w:outlineLvl w:val="3"/>
    </w:pPr>
    <w:rPr>
      <w:b/>
      <w:bCs/>
    </w:rPr>
  </w:style>
  <w:style w:type="paragraph" w:styleId="Heading5">
    <w:name w:val="heading 5"/>
    <w:basedOn w:val="Normal"/>
    <w:next w:val="Normal"/>
    <w:link w:val="Heading5Char"/>
    <w:uiPriority w:val="9"/>
    <w:unhideWhenUsed/>
    <w:qFormat/>
    <w:rsid w:val="001E4AEB"/>
    <w:pPr>
      <w:spacing w:before="240" w:after="120"/>
      <w:ind w:left="720" w:hanging="720"/>
      <w:outlineLvl w:val="4"/>
    </w:pPr>
    <w:rPr>
      <w:i/>
      <w:iCs/>
    </w:rPr>
  </w:style>
  <w:style w:type="paragraph" w:styleId="Heading6">
    <w:name w:val="heading 6"/>
    <w:basedOn w:val="Normal"/>
    <w:next w:val="Normal"/>
    <w:link w:val="Heading6Char"/>
    <w:uiPriority w:val="9"/>
    <w:semiHidden/>
    <w:unhideWhenUsed/>
    <w:rsid w:val="001E4AEB"/>
    <w:pPr>
      <w:keepNext/>
      <w:keepLines/>
      <w:spacing w:before="40"/>
      <w:ind w:left="7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4AEB"/>
    <w:pPr>
      <w:keepNext/>
      <w:keepLines/>
      <w:spacing w:before="40"/>
      <w:ind w:left="72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4AEB"/>
    <w:pPr>
      <w:keepNext/>
      <w:keepLines/>
      <w:spacing w:before="40"/>
      <w:ind w:left="72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AEB"/>
    <w:pPr>
      <w:keepNext/>
      <w:keepLines/>
      <w:spacing w:before="40"/>
      <w:ind w:left="72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32AA"/>
    <w:pPr>
      <w:spacing w:after="0" w:line="240" w:lineRule="auto"/>
    </w:pPr>
    <w:rPr>
      <w:rFonts w:ascii="Sylfaen" w:hAnsi="Sylfaen"/>
    </w:rPr>
  </w:style>
  <w:style w:type="paragraph" w:customStyle="1" w:styleId="BasicParagraph">
    <w:name w:val="[Basic Paragraph]"/>
    <w:uiPriority w:val="99"/>
    <w:rsid w:val="001E4AEB"/>
    <w:pPr>
      <w:spacing w:after="0" w:line="360" w:lineRule="auto"/>
    </w:pPr>
    <w:rPr>
      <w:szCs w:val="24"/>
    </w:rPr>
  </w:style>
  <w:style w:type="character" w:customStyle="1" w:styleId="A6">
    <w:name w:val="A6"/>
    <w:uiPriority w:val="99"/>
    <w:rsid w:val="001E4AEB"/>
    <w:rPr>
      <w:rFonts w:cs="Mercury Text G2"/>
      <w:i/>
      <w:iCs/>
      <w:color w:val="221E1F"/>
      <w:sz w:val="18"/>
      <w:szCs w:val="18"/>
    </w:rPr>
  </w:style>
  <w:style w:type="paragraph" w:styleId="BalloonText">
    <w:name w:val="Balloon Text"/>
    <w:basedOn w:val="Normal"/>
    <w:link w:val="BalloonTextChar"/>
    <w:uiPriority w:val="99"/>
    <w:semiHidden/>
    <w:unhideWhenUsed/>
    <w:rsid w:val="001E4A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AEB"/>
    <w:rPr>
      <w:rFonts w:ascii="Segoe UI" w:hAnsi="Segoe UI" w:cs="Segoe UI"/>
      <w:sz w:val="18"/>
      <w:szCs w:val="18"/>
    </w:rPr>
  </w:style>
  <w:style w:type="table" w:customStyle="1" w:styleId="BEATable">
    <w:name w:val="BEA Table"/>
    <w:basedOn w:val="TableNormal"/>
    <w:uiPriority w:val="99"/>
    <w:rsid w:val="001E4AEB"/>
    <w:pPr>
      <w:spacing w:after="0" w:line="240" w:lineRule="auto"/>
      <w:contextualSpacing/>
    </w:pPr>
    <w:rPr>
      <w:sz w:val="24"/>
      <w:szCs w:val="24"/>
    </w:rPr>
    <w:tblPr>
      <w:tblStyleRowBandSize w:val="1"/>
      <w:tblBorders>
        <w:insideV w:val="single" w:sz="4" w:space="0" w:color="000000" w:themeColor="text1"/>
      </w:tblBorders>
    </w:tblPr>
    <w:tblStylePr w:type="firstRow">
      <w:pPr>
        <w:jc w:val="left"/>
      </w:pPr>
      <w:rPr>
        <w:rFonts w:asciiTheme="majorHAnsi" w:hAnsiTheme="majorHAnsi"/>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vAlign w:val="center"/>
      </w:tcPr>
    </w:tblStylePr>
    <w:tblStylePr w:type="lastRow">
      <w:tblPr/>
      <w:tcPr>
        <w:tcBorders>
          <w:bottom w:val="single" w:sz="4" w:space="0" w:color="000000" w:themeColor="text1"/>
        </w:tcBorders>
      </w:tcPr>
    </w:tblStylePr>
    <w:tblStylePr w:type="band2Horz">
      <w:tblPr/>
      <w:tcPr>
        <w:shd w:val="clear" w:color="auto" w:fill="FFF2DF"/>
      </w:tcPr>
    </w:tblStylePr>
  </w:style>
  <w:style w:type="table" w:customStyle="1" w:styleId="BEATableStyle2">
    <w:name w:val="BEA Table Style 2"/>
    <w:basedOn w:val="TableNormal"/>
    <w:uiPriority w:val="99"/>
    <w:rsid w:val="001E4AEB"/>
    <w:pPr>
      <w:spacing w:after="0" w:line="240" w:lineRule="auto"/>
    </w:pPr>
    <w:rPr>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ajorHAnsi" w:hAnsiTheme="majorHAnsi"/>
        <w:b/>
        <w:color w:val="FFFFFF" w:themeColor="background1"/>
        <w:sz w:val="22"/>
      </w:rPr>
      <w:tblPr/>
      <w:tcPr>
        <w:shd w:val="clear" w:color="auto" w:fill="4472C4" w:themeFill="accent1"/>
      </w:tcPr>
    </w:tblStylePr>
  </w:style>
  <w:style w:type="paragraph" w:styleId="Bibliography">
    <w:name w:val="Bibliography"/>
    <w:basedOn w:val="Normal"/>
    <w:next w:val="Normal"/>
    <w:uiPriority w:val="37"/>
    <w:unhideWhenUsed/>
    <w:rsid w:val="001E4AEB"/>
  </w:style>
  <w:style w:type="paragraph" w:styleId="Caption">
    <w:name w:val="caption"/>
    <w:next w:val="Normal"/>
    <w:uiPriority w:val="35"/>
    <w:unhideWhenUsed/>
    <w:qFormat/>
    <w:rsid w:val="001E4AEB"/>
    <w:pPr>
      <w:spacing w:before="360" w:after="120" w:line="240" w:lineRule="auto"/>
      <w:jc w:val="center"/>
    </w:pPr>
    <w:rPr>
      <w:b/>
      <w:color w:val="4472C4" w:themeColor="accent1"/>
      <w:szCs w:val="18"/>
    </w:rPr>
  </w:style>
  <w:style w:type="character" w:styleId="CommentReference">
    <w:name w:val="annotation reference"/>
    <w:basedOn w:val="DefaultParagraphFont"/>
    <w:uiPriority w:val="99"/>
    <w:semiHidden/>
    <w:unhideWhenUsed/>
    <w:rsid w:val="001E4AEB"/>
    <w:rPr>
      <w:sz w:val="16"/>
      <w:szCs w:val="16"/>
    </w:rPr>
  </w:style>
  <w:style w:type="paragraph" w:styleId="CommentText">
    <w:name w:val="annotation text"/>
    <w:basedOn w:val="Normal"/>
    <w:link w:val="CommentTextChar"/>
    <w:uiPriority w:val="99"/>
    <w:unhideWhenUsed/>
    <w:rsid w:val="001E4AEB"/>
    <w:pPr>
      <w:spacing w:line="240" w:lineRule="auto"/>
    </w:pPr>
    <w:rPr>
      <w:sz w:val="20"/>
      <w:szCs w:val="20"/>
    </w:rPr>
  </w:style>
  <w:style w:type="character" w:customStyle="1" w:styleId="CommentTextChar">
    <w:name w:val="Comment Text Char"/>
    <w:basedOn w:val="DefaultParagraphFont"/>
    <w:link w:val="CommentText"/>
    <w:uiPriority w:val="99"/>
    <w:rsid w:val="001E4AEB"/>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1E4AEB"/>
    <w:rPr>
      <w:b/>
      <w:bCs/>
    </w:rPr>
  </w:style>
  <w:style w:type="character" w:customStyle="1" w:styleId="CommentSubjectChar">
    <w:name w:val="Comment Subject Char"/>
    <w:basedOn w:val="CommentTextChar"/>
    <w:link w:val="CommentSubject"/>
    <w:uiPriority w:val="99"/>
    <w:semiHidden/>
    <w:rsid w:val="001E4AEB"/>
    <w:rPr>
      <w:rFonts w:ascii="Sylfaen" w:hAnsi="Sylfaen"/>
      <w:b/>
      <w:bCs/>
      <w:sz w:val="20"/>
      <w:szCs w:val="20"/>
    </w:rPr>
  </w:style>
  <w:style w:type="paragraph" w:customStyle="1" w:styleId="Default">
    <w:name w:val="Default"/>
    <w:rsid w:val="001E4AEB"/>
    <w:pPr>
      <w:autoSpaceDE w:val="0"/>
      <w:autoSpaceDN w:val="0"/>
      <w:adjustRightInd w:val="0"/>
      <w:spacing w:after="0" w:line="240" w:lineRule="auto"/>
    </w:pPr>
    <w:rPr>
      <w:rFonts w:ascii="Mercury Text G2" w:hAnsi="Mercury Text G2" w:cs="Mercury Text G2"/>
      <w:color w:val="000000"/>
      <w:sz w:val="24"/>
      <w:szCs w:val="24"/>
    </w:rPr>
  </w:style>
  <w:style w:type="paragraph" w:styleId="Footer">
    <w:name w:val="footer"/>
    <w:link w:val="FooterChar"/>
    <w:uiPriority w:val="99"/>
    <w:unhideWhenUsed/>
    <w:rsid w:val="001E4AEB"/>
    <w:pPr>
      <w:tabs>
        <w:tab w:val="center" w:pos="4680"/>
        <w:tab w:val="right" w:pos="9360"/>
      </w:tabs>
      <w:spacing w:after="0" w:line="240" w:lineRule="auto"/>
    </w:pPr>
    <w:rPr>
      <w:color w:val="808080" w:themeColor="background1" w:themeShade="80"/>
      <w:sz w:val="18"/>
      <w:szCs w:val="18"/>
    </w:rPr>
  </w:style>
  <w:style w:type="character" w:customStyle="1" w:styleId="FooterChar">
    <w:name w:val="Footer Char"/>
    <w:basedOn w:val="DefaultParagraphFont"/>
    <w:link w:val="Footer"/>
    <w:uiPriority w:val="99"/>
    <w:rsid w:val="001E4AEB"/>
    <w:rPr>
      <w:color w:val="808080" w:themeColor="background1" w:themeShade="80"/>
      <w:sz w:val="18"/>
      <w:szCs w:val="18"/>
    </w:rPr>
  </w:style>
  <w:style w:type="character" w:styleId="FootnoteReference">
    <w:name w:val="footnote reference"/>
    <w:aliases w:val="Footnote symbol,Footnote reference number,Footnote,Times 10 Point,Exposant 3 Point,Ref,de nota al pie,note TESI,SUPERS,EN Footnote Reference,EN Footnote text,-E Fußnotenzeichen,BVI fnr,Footnote number,Footnote Reference Number,BVI f"/>
    <w:basedOn w:val="DefaultParagraphFont"/>
    <w:link w:val="Nota"/>
    <w:uiPriority w:val="99"/>
    <w:unhideWhenUsed/>
    <w:qFormat/>
    <w:rsid w:val="001E4AEB"/>
    <w:rPr>
      <w:vertAlign w:val="superscript"/>
    </w:rPr>
  </w:style>
  <w:style w:type="paragraph" w:styleId="FootnoteText">
    <w:name w:val="footnote text"/>
    <w:aliases w:val="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ootnote Text1 Char"/>
    <w:basedOn w:val="Normal"/>
    <w:link w:val="FootnoteTextChar"/>
    <w:uiPriority w:val="99"/>
    <w:unhideWhenUsed/>
    <w:qFormat/>
    <w:rsid w:val="001E4AEB"/>
    <w:pPr>
      <w:spacing w:before="120" w:line="240" w:lineRule="auto"/>
    </w:pPr>
    <w:rPr>
      <w:sz w:val="20"/>
      <w:szCs w:val="20"/>
    </w:rPr>
  </w:style>
  <w:style w:type="character" w:customStyle="1" w:styleId="FootnoteTextChar">
    <w:name w:val="Footnote Text Char"/>
    <w:aliases w:val="fn Char,single space Char,FOOTNOTES Char,Текст сноски Знак Char,Текст сноски Знак1 Знак Char,Текст сноски Знак Знак Знак Char,Footnote Text Char Знак Знак Char,Footnote Text Char Знак Char,Текст сноски-FN Char,Oaeno niinee-FN Char"/>
    <w:basedOn w:val="DefaultParagraphFont"/>
    <w:link w:val="FootnoteText"/>
    <w:uiPriority w:val="99"/>
    <w:rsid w:val="001E4AEB"/>
    <w:rPr>
      <w:sz w:val="20"/>
      <w:szCs w:val="20"/>
    </w:rPr>
  </w:style>
  <w:style w:type="paragraph" w:customStyle="1" w:styleId="Footnotes">
    <w:name w:val="Footnotes"/>
    <w:qFormat/>
    <w:rsid w:val="001E4AEB"/>
    <w:pPr>
      <w:numPr>
        <w:numId w:val="1"/>
      </w:numPr>
      <w:tabs>
        <w:tab w:val="left" w:pos="360"/>
      </w:tabs>
      <w:spacing w:before="120" w:after="0" w:line="240" w:lineRule="auto"/>
    </w:pPr>
    <w:rPr>
      <w:sz w:val="18"/>
      <w:szCs w:val="20"/>
    </w:rPr>
  </w:style>
  <w:style w:type="table" w:styleId="GridTable4-Accent1">
    <w:name w:val="Grid Table 4 Accent 1"/>
    <w:basedOn w:val="TableNormal"/>
    <w:uiPriority w:val="49"/>
    <w:rsid w:val="001E4AEB"/>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link w:val="HeaderChar"/>
    <w:uiPriority w:val="99"/>
    <w:unhideWhenUsed/>
    <w:rsid w:val="001E4AEB"/>
    <w:pPr>
      <w:spacing w:after="0" w:line="240" w:lineRule="auto"/>
      <w:jc w:val="right"/>
    </w:pPr>
    <w:rPr>
      <w:color w:val="808080" w:themeColor="background1" w:themeShade="80"/>
      <w:sz w:val="18"/>
      <w:szCs w:val="18"/>
    </w:rPr>
  </w:style>
  <w:style w:type="character" w:customStyle="1" w:styleId="HeaderChar">
    <w:name w:val="Header Char"/>
    <w:basedOn w:val="DefaultParagraphFont"/>
    <w:link w:val="Header"/>
    <w:uiPriority w:val="99"/>
    <w:rsid w:val="001E4AEB"/>
    <w:rPr>
      <w:color w:val="808080" w:themeColor="background1" w:themeShade="80"/>
      <w:sz w:val="18"/>
      <w:szCs w:val="18"/>
    </w:rPr>
  </w:style>
  <w:style w:type="character" w:customStyle="1" w:styleId="Heading1Char">
    <w:name w:val="Heading 1 Char"/>
    <w:basedOn w:val="DefaultParagraphFont"/>
    <w:link w:val="Heading1"/>
    <w:uiPriority w:val="9"/>
    <w:rsid w:val="001E4AEB"/>
    <w:rPr>
      <w:rFonts w:ascii="Gotham Bold" w:hAnsi="Gotham Bold" w:cs="MinionPro-Regular"/>
      <w:bCs/>
      <w:color w:val="4472C4" w:themeColor="accent1"/>
      <w:sz w:val="36"/>
      <w:szCs w:val="36"/>
    </w:rPr>
  </w:style>
  <w:style w:type="character" w:customStyle="1" w:styleId="Heading2Char">
    <w:name w:val="Heading 2 Char"/>
    <w:basedOn w:val="DefaultParagraphFont"/>
    <w:link w:val="Heading2"/>
    <w:uiPriority w:val="9"/>
    <w:rsid w:val="001E4AEB"/>
    <w:rPr>
      <w:rFonts w:eastAsiaTheme="majorEastAsia" w:cstheme="minorHAnsi"/>
      <w:b/>
      <w:sz w:val="32"/>
      <w:szCs w:val="32"/>
    </w:rPr>
  </w:style>
  <w:style w:type="character" w:customStyle="1" w:styleId="Heading3Char">
    <w:name w:val="Heading 3 Char"/>
    <w:basedOn w:val="DefaultParagraphFont"/>
    <w:link w:val="Heading3"/>
    <w:uiPriority w:val="9"/>
    <w:rsid w:val="001E4AEB"/>
    <w:rPr>
      <w:b/>
      <w:bCs/>
      <w:sz w:val="24"/>
      <w:szCs w:val="24"/>
    </w:rPr>
  </w:style>
  <w:style w:type="character" w:customStyle="1" w:styleId="Heading4Char">
    <w:name w:val="Heading 4 Char"/>
    <w:basedOn w:val="DefaultParagraphFont"/>
    <w:link w:val="Heading4"/>
    <w:uiPriority w:val="9"/>
    <w:rsid w:val="001E4AEB"/>
    <w:rPr>
      <w:b/>
      <w:bCs/>
      <w:szCs w:val="24"/>
    </w:rPr>
  </w:style>
  <w:style w:type="character" w:customStyle="1" w:styleId="Heading5Char">
    <w:name w:val="Heading 5 Char"/>
    <w:basedOn w:val="DefaultParagraphFont"/>
    <w:link w:val="Heading5"/>
    <w:uiPriority w:val="9"/>
    <w:rsid w:val="001E4AEB"/>
    <w:rPr>
      <w:i/>
      <w:iCs/>
      <w:szCs w:val="24"/>
    </w:rPr>
  </w:style>
  <w:style w:type="character" w:customStyle="1" w:styleId="Heading6Char">
    <w:name w:val="Heading 6 Char"/>
    <w:basedOn w:val="DefaultParagraphFont"/>
    <w:link w:val="Heading6"/>
    <w:uiPriority w:val="9"/>
    <w:semiHidden/>
    <w:rsid w:val="001E4AEB"/>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1E4AEB"/>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1E4A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AEB"/>
    <w:rPr>
      <w:rFonts w:asciiTheme="majorHAnsi" w:eastAsiaTheme="majorEastAsia" w:hAnsiTheme="majorHAnsi" w:cstheme="majorBidi"/>
      <w:i/>
      <w:iCs/>
      <w:color w:val="272727" w:themeColor="text1" w:themeTint="D8"/>
      <w:sz w:val="21"/>
      <w:szCs w:val="21"/>
    </w:rPr>
  </w:style>
  <w:style w:type="numbering" w:customStyle="1" w:styleId="Headings">
    <w:name w:val="Headings"/>
    <w:uiPriority w:val="99"/>
    <w:rsid w:val="001E4AEB"/>
    <w:pPr>
      <w:numPr>
        <w:numId w:val="4"/>
      </w:numPr>
    </w:pPr>
  </w:style>
  <w:style w:type="character" w:styleId="Hyperlink">
    <w:name w:val="Hyperlink"/>
    <w:basedOn w:val="DefaultParagraphFont"/>
    <w:uiPriority w:val="99"/>
    <w:unhideWhenUsed/>
    <w:rsid w:val="001E4AEB"/>
    <w:rPr>
      <w:color w:val="0563C1" w:themeColor="hyperlink"/>
      <w:u w:val="single"/>
    </w:rPr>
  </w:style>
  <w:style w:type="paragraph" w:styleId="ListParagraph">
    <w:name w:val="List Paragraph"/>
    <w:basedOn w:val="Normal"/>
    <w:uiPriority w:val="34"/>
    <w:qFormat/>
    <w:rsid w:val="001E4AEB"/>
    <w:pPr>
      <w:numPr>
        <w:numId w:val="5"/>
      </w:numPr>
      <w:spacing w:before="120" w:line="240" w:lineRule="auto"/>
    </w:pPr>
  </w:style>
  <w:style w:type="character" w:styleId="PlaceholderText">
    <w:name w:val="Placeholder Text"/>
    <w:basedOn w:val="DefaultParagraphFont"/>
    <w:uiPriority w:val="99"/>
    <w:semiHidden/>
    <w:rsid w:val="001E4AEB"/>
    <w:rPr>
      <w:color w:val="808080"/>
    </w:rPr>
  </w:style>
  <w:style w:type="table" w:styleId="PlainTable1">
    <w:name w:val="Plain Table 1"/>
    <w:basedOn w:val="TableNormal"/>
    <w:uiPriority w:val="41"/>
    <w:rsid w:val="001E4AE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lumnHeader">
    <w:name w:val="Table Column Header"/>
    <w:qFormat/>
    <w:rsid w:val="001E4AEB"/>
    <w:pPr>
      <w:spacing w:after="0" w:line="240" w:lineRule="auto"/>
      <w:contextualSpacing/>
      <w:jc w:val="center"/>
    </w:pPr>
    <w:rPr>
      <w:rFonts w:asciiTheme="majorHAnsi" w:hAnsiTheme="majorHAnsi"/>
      <w:b/>
      <w:bCs/>
      <w:color w:val="FFFFFF" w:themeColor="background1"/>
      <w:szCs w:val="24"/>
    </w:rPr>
  </w:style>
  <w:style w:type="table" w:styleId="TableGrid">
    <w:name w:val="Table Grid"/>
    <w:basedOn w:val="TableNormal"/>
    <w:uiPriority w:val="39"/>
    <w:rsid w:val="001E4AE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qFormat/>
    <w:rsid w:val="001E4AEB"/>
    <w:pPr>
      <w:spacing w:after="0" w:line="240" w:lineRule="auto"/>
      <w:contextualSpacing/>
    </w:pPr>
    <w:rPr>
      <w:sz w:val="20"/>
    </w:rPr>
  </w:style>
  <w:style w:type="character" w:customStyle="1" w:styleId="UnresolvedMention1">
    <w:name w:val="Unresolved Mention1"/>
    <w:basedOn w:val="DefaultParagraphFont"/>
    <w:uiPriority w:val="99"/>
    <w:rsid w:val="001E4AEB"/>
    <w:rPr>
      <w:color w:val="605E5C"/>
      <w:shd w:val="clear" w:color="auto" w:fill="E1DFDD"/>
    </w:rPr>
  </w:style>
  <w:style w:type="paragraph" w:styleId="Subtitle">
    <w:name w:val="Subtitle"/>
    <w:basedOn w:val="Normal"/>
    <w:next w:val="Normal"/>
    <w:link w:val="SubtitleChar"/>
    <w:uiPriority w:val="11"/>
    <w:qFormat/>
    <w:rsid w:val="00BD29F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BD29F4"/>
    <w:rPr>
      <w:rFonts w:eastAsiaTheme="minorEastAsia"/>
      <w:color w:val="5A5A5A" w:themeColor="text1" w:themeTint="A5"/>
      <w:spacing w:val="15"/>
    </w:rPr>
  </w:style>
  <w:style w:type="character" w:customStyle="1" w:styleId="margen30">
    <w:name w:val="margen30"/>
    <w:basedOn w:val="DefaultParagraphFont"/>
    <w:rsid w:val="009C1E92"/>
  </w:style>
  <w:style w:type="paragraph" w:styleId="Revision">
    <w:name w:val="Revision"/>
    <w:hidden/>
    <w:uiPriority w:val="99"/>
    <w:semiHidden/>
    <w:rsid w:val="006E7E4D"/>
    <w:pPr>
      <w:spacing w:after="0" w:line="240" w:lineRule="auto"/>
    </w:pPr>
    <w:rPr>
      <w:rFonts w:ascii="Sylfaen" w:hAnsi="Sylfaen"/>
      <w:szCs w:val="24"/>
    </w:rPr>
  </w:style>
  <w:style w:type="paragraph" w:styleId="ListNumber">
    <w:name w:val="List Number"/>
    <w:basedOn w:val="Normal"/>
    <w:uiPriority w:val="5"/>
    <w:qFormat/>
    <w:rsid w:val="00461B32"/>
    <w:pPr>
      <w:numPr>
        <w:numId w:val="18"/>
      </w:numPr>
      <w:spacing w:after="160" w:line="240" w:lineRule="atLeast"/>
      <w:ind w:left="357" w:hanging="357"/>
      <w:jc w:val="left"/>
    </w:pPr>
    <w:rPr>
      <w:rFonts w:asciiTheme="minorHAnsi" w:eastAsiaTheme="minorEastAsia" w:hAnsiTheme="minorHAnsi"/>
      <w:sz w:val="20"/>
      <w:szCs w:val="20"/>
      <w:lang w:val="sv-SE"/>
    </w:rPr>
  </w:style>
  <w:style w:type="paragraph" w:customStyle="1" w:styleId="Tabletext0">
    <w:name w:val="Table text"/>
    <w:basedOn w:val="NoSpacing"/>
    <w:qFormat/>
    <w:rsid w:val="00064DD8"/>
    <w:pPr>
      <w:keepLines/>
    </w:pPr>
    <w:rPr>
      <w:rFonts w:ascii="Roboto Light" w:hAnsi="Roboto Light"/>
      <w:sz w:val="18"/>
      <w:szCs w:val="20"/>
      <w:lang w:eastAsia="et-EE"/>
    </w:rPr>
  </w:style>
  <w:style w:type="table" w:customStyle="1" w:styleId="TableGridLight10">
    <w:name w:val="Table Grid Light 10"/>
    <w:basedOn w:val="TableGridLight"/>
    <w:uiPriority w:val="99"/>
    <w:rsid w:val="00064DD8"/>
    <w:pPr>
      <w:keepLines/>
    </w:pPr>
    <w:rPr>
      <w:rFonts w:ascii="Roboto" w:hAnsi="Roboto"/>
      <w:sz w:val="20"/>
      <w:szCs w:val="20"/>
      <w:lang w:val="et-EE" w:eastAsia="sv-SE"/>
    </w:rPr>
    <w:tblPr/>
    <w:trPr>
      <w:tblHeader/>
    </w:trPr>
    <w:tblStylePr w:type="firstRow">
      <w:rPr>
        <w:b w:val="0"/>
      </w:rPr>
      <w:tblPr/>
      <w:trPr>
        <w:tblHeader w:val="0"/>
      </w:trPr>
    </w:tblStylePr>
    <w:tblStylePr w:type="lastRow">
      <w:rPr>
        <w:b/>
      </w:rPr>
    </w:tblStylePr>
  </w:style>
  <w:style w:type="paragraph" w:customStyle="1" w:styleId="Nota">
    <w:name w:val="Nota"/>
    <w:aliases w:val="Char1,(NECG) Footnote Reference,fr,Appel note de bas de p,o,Style 6,Signature Ch"/>
    <w:basedOn w:val="Normal"/>
    <w:link w:val="FootnoteReference"/>
    <w:uiPriority w:val="99"/>
    <w:rsid w:val="00064DD8"/>
    <w:pPr>
      <w:spacing w:after="160" w:line="240" w:lineRule="exact"/>
      <w:jc w:val="left"/>
    </w:pPr>
    <w:rPr>
      <w:rFonts w:asciiTheme="minorHAnsi" w:hAnsiTheme="minorHAnsi"/>
      <w:szCs w:val="22"/>
      <w:vertAlign w:val="superscript"/>
    </w:rPr>
  </w:style>
  <w:style w:type="table" w:styleId="TableGridLight">
    <w:name w:val="Grid Table Light"/>
    <w:basedOn w:val="TableNormal"/>
    <w:uiPriority w:val="40"/>
    <w:rsid w:val="00064D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Reference">
    <w:name w:val="Intense Reference"/>
    <w:basedOn w:val="DefaultParagraphFont"/>
    <w:uiPriority w:val="32"/>
    <w:qFormat/>
    <w:rsid w:val="00A866D6"/>
    <w:rPr>
      <w:b/>
      <w:bCs/>
      <w:smallCaps/>
      <w:color w:val="4472C4" w:themeColor="accent1"/>
      <w:spacing w:val="5"/>
    </w:rPr>
  </w:style>
  <w:style w:type="character" w:styleId="FollowedHyperlink">
    <w:name w:val="FollowedHyperlink"/>
    <w:basedOn w:val="DefaultParagraphFont"/>
    <w:uiPriority w:val="99"/>
    <w:semiHidden/>
    <w:unhideWhenUsed/>
    <w:rsid w:val="009C24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173">
      <w:bodyDiv w:val="1"/>
      <w:marLeft w:val="0"/>
      <w:marRight w:val="0"/>
      <w:marTop w:val="0"/>
      <w:marBottom w:val="0"/>
      <w:divBdr>
        <w:top w:val="none" w:sz="0" w:space="0" w:color="auto"/>
        <w:left w:val="none" w:sz="0" w:space="0" w:color="auto"/>
        <w:bottom w:val="none" w:sz="0" w:space="0" w:color="auto"/>
        <w:right w:val="none" w:sz="0" w:space="0" w:color="auto"/>
      </w:divBdr>
    </w:div>
    <w:div w:id="322129054">
      <w:bodyDiv w:val="1"/>
      <w:marLeft w:val="0"/>
      <w:marRight w:val="0"/>
      <w:marTop w:val="0"/>
      <w:marBottom w:val="0"/>
      <w:divBdr>
        <w:top w:val="none" w:sz="0" w:space="0" w:color="auto"/>
        <w:left w:val="none" w:sz="0" w:space="0" w:color="auto"/>
        <w:bottom w:val="none" w:sz="0" w:space="0" w:color="auto"/>
        <w:right w:val="none" w:sz="0" w:space="0" w:color="auto"/>
      </w:divBdr>
    </w:div>
    <w:div w:id="332151230">
      <w:bodyDiv w:val="1"/>
      <w:marLeft w:val="0"/>
      <w:marRight w:val="0"/>
      <w:marTop w:val="0"/>
      <w:marBottom w:val="0"/>
      <w:divBdr>
        <w:top w:val="none" w:sz="0" w:space="0" w:color="auto"/>
        <w:left w:val="none" w:sz="0" w:space="0" w:color="auto"/>
        <w:bottom w:val="none" w:sz="0" w:space="0" w:color="auto"/>
        <w:right w:val="none" w:sz="0" w:space="0" w:color="auto"/>
      </w:divBdr>
    </w:div>
    <w:div w:id="476531989">
      <w:bodyDiv w:val="1"/>
      <w:marLeft w:val="0"/>
      <w:marRight w:val="0"/>
      <w:marTop w:val="0"/>
      <w:marBottom w:val="0"/>
      <w:divBdr>
        <w:top w:val="none" w:sz="0" w:space="0" w:color="auto"/>
        <w:left w:val="none" w:sz="0" w:space="0" w:color="auto"/>
        <w:bottom w:val="none" w:sz="0" w:space="0" w:color="auto"/>
        <w:right w:val="none" w:sz="0" w:space="0" w:color="auto"/>
      </w:divBdr>
    </w:div>
    <w:div w:id="545920889">
      <w:bodyDiv w:val="1"/>
      <w:marLeft w:val="0"/>
      <w:marRight w:val="0"/>
      <w:marTop w:val="0"/>
      <w:marBottom w:val="0"/>
      <w:divBdr>
        <w:top w:val="none" w:sz="0" w:space="0" w:color="auto"/>
        <w:left w:val="none" w:sz="0" w:space="0" w:color="auto"/>
        <w:bottom w:val="none" w:sz="0" w:space="0" w:color="auto"/>
        <w:right w:val="none" w:sz="0" w:space="0" w:color="auto"/>
      </w:divBdr>
    </w:div>
    <w:div w:id="583756783">
      <w:bodyDiv w:val="1"/>
      <w:marLeft w:val="0"/>
      <w:marRight w:val="0"/>
      <w:marTop w:val="0"/>
      <w:marBottom w:val="0"/>
      <w:divBdr>
        <w:top w:val="none" w:sz="0" w:space="0" w:color="auto"/>
        <w:left w:val="none" w:sz="0" w:space="0" w:color="auto"/>
        <w:bottom w:val="none" w:sz="0" w:space="0" w:color="auto"/>
        <w:right w:val="none" w:sz="0" w:space="0" w:color="auto"/>
      </w:divBdr>
    </w:div>
    <w:div w:id="586381360">
      <w:bodyDiv w:val="1"/>
      <w:marLeft w:val="0"/>
      <w:marRight w:val="0"/>
      <w:marTop w:val="0"/>
      <w:marBottom w:val="0"/>
      <w:divBdr>
        <w:top w:val="none" w:sz="0" w:space="0" w:color="auto"/>
        <w:left w:val="none" w:sz="0" w:space="0" w:color="auto"/>
        <w:bottom w:val="none" w:sz="0" w:space="0" w:color="auto"/>
        <w:right w:val="none" w:sz="0" w:space="0" w:color="auto"/>
      </w:divBdr>
    </w:div>
    <w:div w:id="806244086">
      <w:bodyDiv w:val="1"/>
      <w:marLeft w:val="0"/>
      <w:marRight w:val="0"/>
      <w:marTop w:val="0"/>
      <w:marBottom w:val="0"/>
      <w:divBdr>
        <w:top w:val="none" w:sz="0" w:space="0" w:color="auto"/>
        <w:left w:val="none" w:sz="0" w:space="0" w:color="auto"/>
        <w:bottom w:val="none" w:sz="0" w:space="0" w:color="auto"/>
        <w:right w:val="none" w:sz="0" w:space="0" w:color="auto"/>
      </w:divBdr>
    </w:div>
    <w:div w:id="814687625">
      <w:bodyDiv w:val="1"/>
      <w:marLeft w:val="0"/>
      <w:marRight w:val="0"/>
      <w:marTop w:val="0"/>
      <w:marBottom w:val="0"/>
      <w:divBdr>
        <w:top w:val="none" w:sz="0" w:space="0" w:color="auto"/>
        <w:left w:val="none" w:sz="0" w:space="0" w:color="auto"/>
        <w:bottom w:val="none" w:sz="0" w:space="0" w:color="auto"/>
        <w:right w:val="none" w:sz="0" w:space="0" w:color="auto"/>
      </w:divBdr>
    </w:div>
    <w:div w:id="836261458">
      <w:bodyDiv w:val="1"/>
      <w:marLeft w:val="0"/>
      <w:marRight w:val="0"/>
      <w:marTop w:val="0"/>
      <w:marBottom w:val="0"/>
      <w:divBdr>
        <w:top w:val="none" w:sz="0" w:space="0" w:color="auto"/>
        <w:left w:val="none" w:sz="0" w:space="0" w:color="auto"/>
        <w:bottom w:val="none" w:sz="0" w:space="0" w:color="auto"/>
        <w:right w:val="none" w:sz="0" w:space="0" w:color="auto"/>
      </w:divBdr>
    </w:div>
    <w:div w:id="854225244">
      <w:bodyDiv w:val="1"/>
      <w:marLeft w:val="0"/>
      <w:marRight w:val="0"/>
      <w:marTop w:val="0"/>
      <w:marBottom w:val="0"/>
      <w:divBdr>
        <w:top w:val="none" w:sz="0" w:space="0" w:color="auto"/>
        <w:left w:val="none" w:sz="0" w:space="0" w:color="auto"/>
        <w:bottom w:val="none" w:sz="0" w:space="0" w:color="auto"/>
        <w:right w:val="none" w:sz="0" w:space="0" w:color="auto"/>
      </w:divBdr>
    </w:div>
    <w:div w:id="949900002">
      <w:bodyDiv w:val="1"/>
      <w:marLeft w:val="0"/>
      <w:marRight w:val="0"/>
      <w:marTop w:val="0"/>
      <w:marBottom w:val="0"/>
      <w:divBdr>
        <w:top w:val="none" w:sz="0" w:space="0" w:color="auto"/>
        <w:left w:val="none" w:sz="0" w:space="0" w:color="auto"/>
        <w:bottom w:val="none" w:sz="0" w:space="0" w:color="auto"/>
        <w:right w:val="none" w:sz="0" w:space="0" w:color="auto"/>
      </w:divBdr>
    </w:div>
    <w:div w:id="1045377051">
      <w:bodyDiv w:val="1"/>
      <w:marLeft w:val="0"/>
      <w:marRight w:val="0"/>
      <w:marTop w:val="0"/>
      <w:marBottom w:val="0"/>
      <w:divBdr>
        <w:top w:val="none" w:sz="0" w:space="0" w:color="auto"/>
        <w:left w:val="none" w:sz="0" w:space="0" w:color="auto"/>
        <w:bottom w:val="none" w:sz="0" w:space="0" w:color="auto"/>
        <w:right w:val="none" w:sz="0" w:space="0" w:color="auto"/>
      </w:divBdr>
    </w:div>
    <w:div w:id="1225794577">
      <w:bodyDiv w:val="1"/>
      <w:marLeft w:val="0"/>
      <w:marRight w:val="0"/>
      <w:marTop w:val="0"/>
      <w:marBottom w:val="0"/>
      <w:divBdr>
        <w:top w:val="none" w:sz="0" w:space="0" w:color="auto"/>
        <w:left w:val="none" w:sz="0" w:space="0" w:color="auto"/>
        <w:bottom w:val="none" w:sz="0" w:space="0" w:color="auto"/>
        <w:right w:val="none" w:sz="0" w:space="0" w:color="auto"/>
      </w:divBdr>
    </w:div>
    <w:div w:id="1258906537">
      <w:bodyDiv w:val="1"/>
      <w:marLeft w:val="0"/>
      <w:marRight w:val="0"/>
      <w:marTop w:val="0"/>
      <w:marBottom w:val="0"/>
      <w:divBdr>
        <w:top w:val="none" w:sz="0" w:space="0" w:color="auto"/>
        <w:left w:val="none" w:sz="0" w:space="0" w:color="auto"/>
        <w:bottom w:val="none" w:sz="0" w:space="0" w:color="auto"/>
        <w:right w:val="none" w:sz="0" w:space="0" w:color="auto"/>
      </w:divBdr>
    </w:div>
    <w:div w:id="1333293461">
      <w:bodyDiv w:val="1"/>
      <w:marLeft w:val="0"/>
      <w:marRight w:val="0"/>
      <w:marTop w:val="0"/>
      <w:marBottom w:val="0"/>
      <w:divBdr>
        <w:top w:val="none" w:sz="0" w:space="0" w:color="auto"/>
        <w:left w:val="none" w:sz="0" w:space="0" w:color="auto"/>
        <w:bottom w:val="none" w:sz="0" w:space="0" w:color="auto"/>
        <w:right w:val="none" w:sz="0" w:space="0" w:color="auto"/>
      </w:divBdr>
    </w:div>
    <w:div w:id="1364596791">
      <w:bodyDiv w:val="1"/>
      <w:marLeft w:val="0"/>
      <w:marRight w:val="0"/>
      <w:marTop w:val="0"/>
      <w:marBottom w:val="0"/>
      <w:divBdr>
        <w:top w:val="none" w:sz="0" w:space="0" w:color="auto"/>
        <w:left w:val="none" w:sz="0" w:space="0" w:color="auto"/>
        <w:bottom w:val="none" w:sz="0" w:space="0" w:color="auto"/>
        <w:right w:val="none" w:sz="0" w:space="0" w:color="auto"/>
      </w:divBdr>
    </w:div>
    <w:div w:id="1404790976">
      <w:bodyDiv w:val="1"/>
      <w:marLeft w:val="0"/>
      <w:marRight w:val="0"/>
      <w:marTop w:val="0"/>
      <w:marBottom w:val="0"/>
      <w:divBdr>
        <w:top w:val="none" w:sz="0" w:space="0" w:color="auto"/>
        <w:left w:val="none" w:sz="0" w:space="0" w:color="auto"/>
        <w:bottom w:val="none" w:sz="0" w:space="0" w:color="auto"/>
        <w:right w:val="none" w:sz="0" w:space="0" w:color="auto"/>
      </w:divBdr>
    </w:div>
    <w:div w:id="1432624750">
      <w:bodyDiv w:val="1"/>
      <w:marLeft w:val="0"/>
      <w:marRight w:val="0"/>
      <w:marTop w:val="0"/>
      <w:marBottom w:val="0"/>
      <w:divBdr>
        <w:top w:val="none" w:sz="0" w:space="0" w:color="auto"/>
        <w:left w:val="none" w:sz="0" w:space="0" w:color="auto"/>
        <w:bottom w:val="none" w:sz="0" w:space="0" w:color="auto"/>
        <w:right w:val="none" w:sz="0" w:space="0" w:color="auto"/>
      </w:divBdr>
    </w:div>
    <w:div w:id="1483505040">
      <w:bodyDiv w:val="1"/>
      <w:marLeft w:val="0"/>
      <w:marRight w:val="0"/>
      <w:marTop w:val="0"/>
      <w:marBottom w:val="0"/>
      <w:divBdr>
        <w:top w:val="none" w:sz="0" w:space="0" w:color="auto"/>
        <w:left w:val="none" w:sz="0" w:space="0" w:color="auto"/>
        <w:bottom w:val="none" w:sz="0" w:space="0" w:color="auto"/>
        <w:right w:val="none" w:sz="0" w:space="0" w:color="auto"/>
      </w:divBdr>
    </w:div>
    <w:div w:id="1826165148">
      <w:bodyDiv w:val="1"/>
      <w:marLeft w:val="0"/>
      <w:marRight w:val="0"/>
      <w:marTop w:val="0"/>
      <w:marBottom w:val="0"/>
      <w:divBdr>
        <w:top w:val="none" w:sz="0" w:space="0" w:color="auto"/>
        <w:left w:val="none" w:sz="0" w:space="0" w:color="auto"/>
        <w:bottom w:val="none" w:sz="0" w:space="0" w:color="auto"/>
        <w:right w:val="none" w:sz="0" w:space="0" w:color="auto"/>
      </w:divBdr>
    </w:div>
    <w:div w:id="1863401842">
      <w:bodyDiv w:val="1"/>
      <w:marLeft w:val="0"/>
      <w:marRight w:val="0"/>
      <w:marTop w:val="0"/>
      <w:marBottom w:val="0"/>
      <w:divBdr>
        <w:top w:val="none" w:sz="0" w:space="0" w:color="auto"/>
        <w:left w:val="none" w:sz="0" w:space="0" w:color="auto"/>
        <w:bottom w:val="none" w:sz="0" w:space="0" w:color="auto"/>
        <w:right w:val="none" w:sz="0" w:space="0" w:color="auto"/>
      </w:divBdr>
    </w:div>
    <w:div w:id="1889486800">
      <w:bodyDiv w:val="1"/>
      <w:marLeft w:val="0"/>
      <w:marRight w:val="0"/>
      <w:marTop w:val="0"/>
      <w:marBottom w:val="0"/>
      <w:divBdr>
        <w:top w:val="none" w:sz="0" w:space="0" w:color="auto"/>
        <w:left w:val="none" w:sz="0" w:space="0" w:color="auto"/>
        <w:bottom w:val="none" w:sz="0" w:space="0" w:color="auto"/>
        <w:right w:val="none" w:sz="0" w:space="0" w:color="auto"/>
      </w:divBdr>
    </w:div>
    <w:div w:id="1898517215">
      <w:bodyDiv w:val="1"/>
      <w:marLeft w:val="0"/>
      <w:marRight w:val="0"/>
      <w:marTop w:val="0"/>
      <w:marBottom w:val="0"/>
      <w:divBdr>
        <w:top w:val="none" w:sz="0" w:space="0" w:color="auto"/>
        <w:left w:val="none" w:sz="0" w:space="0" w:color="auto"/>
        <w:bottom w:val="none" w:sz="0" w:space="0" w:color="auto"/>
        <w:right w:val="none" w:sz="0" w:space="0" w:color="auto"/>
      </w:divBdr>
    </w:div>
    <w:div w:id="1910537730">
      <w:bodyDiv w:val="1"/>
      <w:marLeft w:val="0"/>
      <w:marRight w:val="0"/>
      <w:marTop w:val="0"/>
      <w:marBottom w:val="0"/>
      <w:divBdr>
        <w:top w:val="none" w:sz="0" w:space="0" w:color="auto"/>
        <w:left w:val="none" w:sz="0" w:space="0" w:color="auto"/>
        <w:bottom w:val="none" w:sz="0" w:space="0" w:color="auto"/>
        <w:right w:val="none" w:sz="0" w:space="0" w:color="auto"/>
      </w:divBdr>
    </w:div>
    <w:div w:id="1992633873">
      <w:bodyDiv w:val="1"/>
      <w:marLeft w:val="0"/>
      <w:marRight w:val="0"/>
      <w:marTop w:val="0"/>
      <w:marBottom w:val="0"/>
      <w:divBdr>
        <w:top w:val="none" w:sz="0" w:space="0" w:color="auto"/>
        <w:left w:val="none" w:sz="0" w:space="0" w:color="auto"/>
        <w:bottom w:val="none" w:sz="0" w:space="0" w:color="auto"/>
        <w:right w:val="none" w:sz="0" w:space="0" w:color="auto"/>
      </w:divBdr>
    </w:div>
    <w:div w:id="1993752456">
      <w:bodyDiv w:val="1"/>
      <w:marLeft w:val="0"/>
      <w:marRight w:val="0"/>
      <w:marTop w:val="0"/>
      <w:marBottom w:val="0"/>
      <w:divBdr>
        <w:top w:val="none" w:sz="0" w:space="0" w:color="auto"/>
        <w:left w:val="none" w:sz="0" w:space="0" w:color="auto"/>
        <w:bottom w:val="none" w:sz="0" w:space="0" w:color="auto"/>
        <w:right w:val="none" w:sz="0" w:space="0" w:color="auto"/>
      </w:divBdr>
    </w:div>
    <w:div w:id="2014213726">
      <w:bodyDiv w:val="1"/>
      <w:marLeft w:val="0"/>
      <w:marRight w:val="0"/>
      <w:marTop w:val="0"/>
      <w:marBottom w:val="0"/>
      <w:divBdr>
        <w:top w:val="none" w:sz="0" w:space="0" w:color="auto"/>
        <w:left w:val="none" w:sz="0" w:space="0" w:color="auto"/>
        <w:bottom w:val="none" w:sz="0" w:space="0" w:color="auto"/>
        <w:right w:val="none" w:sz="0" w:space="0" w:color="auto"/>
      </w:divBdr>
    </w:div>
    <w:div w:id="2076539684">
      <w:bodyDiv w:val="1"/>
      <w:marLeft w:val="0"/>
      <w:marRight w:val="0"/>
      <w:marTop w:val="0"/>
      <w:marBottom w:val="0"/>
      <w:divBdr>
        <w:top w:val="none" w:sz="0" w:space="0" w:color="auto"/>
        <w:left w:val="none" w:sz="0" w:space="0" w:color="auto"/>
        <w:bottom w:val="none" w:sz="0" w:space="0" w:color="auto"/>
        <w:right w:val="none" w:sz="0" w:space="0" w:color="auto"/>
      </w:divBdr>
    </w:div>
    <w:div w:id="21062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Excel_Worksheet6.xls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10.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1.emf"/><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package" Target="embeddings/Microsoft_Excel_Worksheet11.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image" Target="media/image12.emf"/><Relationship Id="rId35" Type="http://schemas.openxmlformats.org/officeDocument/2006/relationships/theme" Target="theme/theme1.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andmed.stat.ee/en/stat/keskkond__loodusvarad-ja-nende-kasutamine__maakasutuse-muutumine/KK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Sch23</b:Tag>
    <b:SourceType>Report</b:SourceType>
    <b:Guid>{A07378B8-46AA-424B-8029-9D45B99F2E9E}</b:Guid>
    <b:Title>LULUCF and SEEA CF</b:Title>
    <b:Year>2023</b:Year>
    <b:Author>
      <b:Author>
        <b:NameList>
          <b:Person>
            <b:Last>Schenau</b:Last>
            <b:First>Sjoerd</b:First>
          </b:Person>
        </b:NameList>
      </b:Author>
    </b:Author>
    <b:ConferenceName>London Group 29th Meeting</b:ConferenceName>
    <b:Publisher>London Group 29th Meeting</b:Publisher>
    <b:City>Pretoria, South Africa</b:City>
    <b:RefOrder>3</b:RefOrder>
  </b:Source>
  <b:Source>
    <b:Tag>Fin12</b:Tag>
    <b:SourceType>JournalArticle</b:SourceType>
    <b:Guid>{9E9AC1FD-A1B4-4227-8523-62C8CA145C7E}</b:Guid>
    <b:Title>Secondary Particulate Matter in the United States: Insights from the Particulate Matter Supersites Program and Related Studies</b:Title>
    <b:Year>2012</b:Year>
    <b:Author>
      <b:Author>
        <b:NameList>
          <b:Person>
            <b:Last>Fine</b:Last>
            <b:First>Philip</b:First>
            <b:Middle>M.</b:Middle>
          </b:Person>
          <b:Person>
            <b:Last>Sioutas</b:Last>
            <b:First>Constantinos</b:First>
          </b:Person>
          <b:Person>
            <b:Last>Solomon</b:Last>
            <b:First>Paul</b:First>
            <b:Middle>A.</b:Middle>
          </b:Person>
        </b:NameList>
      </b:Author>
    </b:Author>
    <b:JournalName>Journal of the Air and Waste Management Association</b:JournalName>
    <b:RefOrder>1</b:RefOrder>
  </b:Source>
  <b:Source>
    <b:Tag>Zha22</b:Tag>
    <b:SourceType>JournalArticle</b:SourceType>
    <b:Guid>{EB7BABA5-3337-470B-932C-9F3B582CC156}</b:Guid>
    <b:Author>
      <b:Author>
        <b:NameList>
          <b:Person>
            <b:Last>Zhang</b:Last>
            <b:First>Haoran</b:First>
          </b:Person>
          <b:Person>
            <b:Last>Li</b:Last>
            <b:First>Nan</b:First>
          </b:Person>
          <b:Person>
            <b:Last>Tang</b:Last>
            <b:First>Keqin</b:First>
          </b:Person>
          <b:Person>
            <b:Last>Liao</b:Last>
            <b:First>Hong</b:First>
          </b:Person>
          <b:Person>
            <b:Last>Shi</b:Last>
            <b:First>Chong</b:First>
          </b:Person>
          <b:Person>
            <b:Last>Huang</b:Last>
            <b:First>Cheng</b:First>
          </b:Person>
          <b:Person>
            <b:Last>Wang</b:Last>
            <b:First>Hongli</b:First>
          </b:Person>
          <b:Person>
            <b:Last>Guo</b:Last>
            <b:First>Song</b:First>
          </b:Person>
          <b:Person>
            <b:Last>Hu</b:Last>
            <b:First>Min</b:First>
          </b:Person>
          <b:Person>
            <b:Last>Ge</b:Last>
            <b:First>Xinlei</b:First>
          </b:Person>
          <b:Person>
            <b:Last>Chen</b:Last>
            <b:First>Mindong</b:First>
          </b:Person>
          <b:Person>
            <b:Last>Liu</b:Last>
            <b:First>Zhenxin</b:First>
          </b:Person>
          <b:Person>
            <b:Last>Yu</b:Last>
            <b:First>Huan</b:First>
          </b:Person>
          <b:Person>
            <b:Last>Hu</b:Last>
            <b:First>Jianlin</b:First>
          </b:Person>
        </b:NameList>
      </b:Author>
    </b:Author>
    <b:Title>Estimation of secondary PM2.5 in China and the United States using a multi-tracer approach</b:Title>
    <b:JournalName>Atmospheric Chemistry and Physics</b:JournalName>
    <b:Year>2022</b:Year>
    <b:RefOrder>2</b:RefOrder>
  </b:Source>
  <b:Source>
    <b:Tag>Vet17</b:Tag>
    <b:SourceType>Report</b:SourceType>
    <b:Guid>{B09C2B05-603D-4960-99B5-0A0871975397}</b:Guid>
    <b:Title>Completing the links between UNFCCC reporting categories and SEEA</b:Title>
    <b:Year>2017</b:Year>
    <b:Publisher>London Group 23rd Meeting</b:Publisher>
    <b:Author>
      <b:Author>
        <b:NameList>
          <b:Person>
            <b:Last>Vetrella</b:Last>
            <b:First>Giusy</b:First>
          </b:Person>
          <b:Person>
            <b:Last>Femia</b:Last>
            <b:First>Aldo</b:First>
          </b:Person>
          <b:Person>
            <b:Last>Tubiello</b:Last>
            <b:First>Francesco</b:First>
          </b:Person>
        </b:NameList>
      </b:Author>
    </b:Author>
    <b:City>San José, Costa Rica</b:City>
    <b:RefOrder>4</b:RefOrder>
  </b:Source>
</b:Sources>
</file>

<file path=customXml/itemProps1.xml><?xml version="1.0" encoding="utf-8"?>
<ds:datastoreItem xmlns:ds="http://schemas.openxmlformats.org/officeDocument/2006/customXml" ds:itemID="{D6850A92-98D5-4067-A753-D863EF09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4872</Words>
  <Characters>27773</Characters>
  <Application>Microsoft Office Word</Application>
  <DocSecurity>0</DocSecurity>
  <Lines>231</Lines>
  <Paragraphs>65</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Titolo</vt:lpstr>
      </vt:variant>
      <vt:variant>
        <vt:i4>1</vt:i4>
      </vt:variant>
    </vt:vector>
  </HeadingPairs>
  <TitlesOfParts>
    <vt:vector size="4" baseType="lpstr">
      <vt:lpstr/>
      <vt:lpstr/>
      <vt:lpstr/>
      <vt:lpstr/>
    </vt:vector>
  </TitlesOfParts>
  <Company>Bureau of Economic Analysis</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Matthew</dc:creator>
  <cp:keywords/>
  <dc:description/>
  <cp:lastModifiedBy>Chambers, Matthew</cp:lastModifiedBy>
  <cp:revision>3</cp:revision>
  <dcterms:created xsi:type="dcterms:W3CDTF">2024-09-12T14:35:00Z</dcterms:created>
  <dcterms:modified xsi:type="dcterms:W3CDTF">2024-09-25T19:00:00Z</dcterms:modified>
</cp:coreProperties>
</file>